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contextualSpacing w:val="false"/>
        <w:jc w:val="both"/>
        <w:rPr>
          <w:rFonts w:ascii="Arial" w:cs="Arial" w:hAnsi="Arial"/>
          <w:b/>
          <w:sz w:val="24"/>
          <w:szCs w:val="24"/>
        </w:rPr>
      </w:pPr>
      <w:r>
        <w:rPr>
          <w:rFonts w:ascii="Arial" w:cs="Arial" w:hAnsi="Arial"/>
          <w:b/>
          <w:sz w:val="24"/>
          <w:szCs w:val="24"/>
        </w:rPr>
        <w:t>Rocío Calabrese</w:t>
      </w:r>
    </w:p>
    <w:p>
      <w:pPr>
        <w:pStyle w:val="style0"/>
        <w:spacing w:after="0" w:before="0"/>
        <w:contextualSpacing w:val="false"/>
        <w:jc w:val="both"/>
        <w:rPr/>
      </w:pPr>
      <w:r>
        <w:rPr/>
      </w:r>
    </w:p>
    <w:p>
      <w:pPr>
        <w:pStyle w:val="style0"/>
        <w:spacing w:after="0" w:before="0"/>
        <w:contextualSpacing w:val="false"/>
        <w:jc w:val="both"/>
        <w:rPr>
          <w:rFonts w:ascii="Arial" w:cs="Arial" w:hAnsi="Arial"/>
          <w:b/>
          <w:sz w:val="24"/>
          <w:szCs w:val="24"/>
        </w:rPr>
      </w:pPr>
      <w:r>
        <w:rPr>
          <w:rFonts w:ascii="Arial" w:cs="Arial" w:hAnsi="Arial"/>
          <w:b/>
          <w:sz w:val="24"/>
          <w:szCs w:val="24"/>
        </w:rPr>
        <w:t xml:space="preserve">LOS DERECHOS DE LOS PUEBLOS AUTÓCTONOS CONTRA LOS INTERESES DE LA INDUSTRIA MINERA A GRAN ESCALA  </w:t>
      </w:r>
    </w:p>
    <w:p>
      <w:pPr>
        <w:pStyle w:val="style0"/>
        <w:jc w:val="both"/>
        <w:rPr>
          <w:rFonts w:ascii="Arial" w:cs="Arial" w:hAnsi="Arial"/>
          <w:sz w:val="24"/>
          <w:szCs w:val="24"/>
        </w:rPr>
      </w:pPr>
      <w:r>
        <w:rPr>
          <w:rFonts w:ascii="Arial" w:cs="Arial" w:hAnsi="Arial"/>
          <w:sz w:val="24"/>
          <w:szCs w:val="24"/>
        </w:rPr>
        <w:t xml:space="preserve">Caso de Kasibu, Nueva Vizcaya, Filipinas  </w:t>
      </w:r>
    </w:p>
    <w:p>
      <w:pPr>
        <w:pStyle w:val="style0"/>
        <w:jc w:val="both"/>
        <w:rPr>
          <w:rFonts w:ascii="Arial" w:cs="Arial" w:hAnsi="Arial"/>
          <w:sz w:val="24"/>
          <w:szCs w:val="24"/>
        </w:rPr>
      </w:pPr>
      <w:r>
        <w:rPr>
          <w:rFonts w:ascii="Arial" w:cs="Arial" w:hAnsi="Arial"/>
          <w:sz w:val="24"/>
          <w:szCs w:val="24"/>
        </w:rPr>
        <w:t xml:space="preserve">Filipinas es un país rico en recursos metálicos (oro, cobre y cromo) y no-metálicos que se sitúa en la zona llamada “Cinturón de fuego del Pacífico”. El Congreso Filipino con la </w:t>
      </w:r>
      <w:r>
        <w:rPr>
          <w:rFonts w:ascii="Arial" w:cs="Arial" w:hAnsi="Arial"/>
          <w:i/>
          <w:sz w:val="24"/>
          <w:szCs w:val="24"/>
          <w:shd w:fill="FFFF00" w:val="clear"/>
        </w:rPr>
        <w:t xml:space="preserve">Mining Act </w:t>
      </w:r>
      <w:r>
        <w:rPr>
          <w:rFonts w:ascii="Arial" w:cs="Arial" w:hAnsi="Arial"/>
          <w:sz w:val="24"/>
          <w:szCs w:val="24"/>
          <w:shd w:fill="FFFF00" w:val="clear"/>
        </w:rPr>
        <w:t>d</w:t>
      </w:r>
      <w:r>
        <w:rPr>
          <w:rFonts w:ascii="Arial" w:cs="Arial" w:hAnsi="Arial"/>
          <w:sz w:val="24"/>
          <w:szCs w:val="24"/>
        </w:rPr>
        <w:t>e 1995 decidió acelerar la industrialización y promover el crecimiento económico. La ley nombrada, trata sobre la explotación minera a gran escala, liberaliza totalmente la industria minera en Filipinas y a su vez autoriza proyectos económicos 100% extranjeros, lo cual está prohibido en la Constitución de 1987.</w:t>
      </w:r>
    </w:p>
    <w:p>
      <w:pPr>
        <w:pStyle w:val="style0"/>
        <w:jc w:val="both"/>
        <w:rPr>
          <w:rFonts w:ascii="Arial" w:cs="Arial" w:hAnsi="Arial"/>
          <w:sz w:val="24"/>
          <w:szCs w:val="24"/>
        </w:rPr>
      </w:pPr>
      <w:r>
        <w:rPr>
          <w:rFonts w:ascii="Arial" w:cs="Arial" w:hAnsi="Arial"/>
          <w:sz w:val="24"/>
          <w:szCs w:val="24"/>
        </w:rPr>
        <w:t xml:space="preserve">Más precisamente </w:t>
      </w:r>
      <w:r>
        <w:rPr>
          <w:rFonts w:ascii="Arial" w:cs="Arial" w:hAnsi="Arial"/>
          <w:sz w:val="24"/>
          <w:szCs w:val="24"/>
          <w:shd w:fill="FFFF00" w:val="clear"/>
        </w:rPr>
        <w:t>sobre</w:t>
      </w:r>
      <w:r>
        <w:rPr>
          <w:rFonts w:ascii="Arial" w:cs="Arial" w:hAnsi="Arial"/>
          <w:sz w:val="24"/>
          <w:szCs w:val="24"/>
        </w:rPr>
        <w:t xml:space="preserve"> la Isla de Luzón en la región de Kasibu, la provincia de Nueva Vizcaya está dividida en tres zonas: “el 89,86% es de bosques, el 8,52% de tierras agrícolas y el 0,59% de residencias, rutas e infraestructuras” (extracto del informe </w:t>
      </w:r>
      <w:r>
        <w:rPr>
          <w:rFonts w:ascii="Arial" w:cs="Arial" w:hAnsi="Arial"/>
          <w:i/>
          <w:sz w:val="24"/>
          <w:szCs w:val="24"/>
        </w:rPr>
        <w:t xml:space="preserve">Large-scale mining projects in Nueva Viscaya, Philippines, de PhilRights). </w:t>
      </w:r>
      <w:r>
        <w:rPr>
          <w:rFonts w:ascii="Arial" w:cs="Arial" w:hAnsi="Arial"/>
          <w:sz w:val="24"/>
          <w:szCs w:val="24"/>
        </w:rPr>
        <w:t>La provincia tiene una población de 28.300 habitantes que están repartidos en 30 “barangayes” (unidad administrativa más pequeña de Filipinas). Hoy, solo el 5% de la población de esta región no sería autóctono. En 2005, en el marco de la ley de 1995, el gobierno quiso pasar de una explotación tradicional a una explotación a gran escala, con técnicas más elaboradas pero menos respetuosas del medioambiente. Los habitantes de los “barangayes” de Pao y de Didipio son víctimas de la instalación de empresas australianas (</w:t>
      </w:r>
      <w:r>
        <w:rPr>
          <w:rFonts w:ascii="Arial" w:cs="Arial" w:hAnsi="Arial"/>
          <w:i/>
          <w:sz w:val="24"/>
          <w:szCs w:val="24"/>
        </w:rPr>
        <w:t xml:space="preserve">Royalco Resources Limited et OceanaGold) </w:t>
      </w:r>
      <w:r>
        <w:rPr>
          <w:rFonts w:ascii="Arial" w:cs="Arial" w:hAnsi="Arial"/>
          <w:sz w:val="24"/>
          <w:szCs w:val="24"/>
        </w:rPr>
        <w:t xml:space="preserve">que explotan minas a través de filiales locales. </w:t>
      </w:r>
    </w:p>
    <w:p>
      <w:pPr>
        <w:pStyle w:val="style0"/>
        <w:jc w:val="both"/>
        <w:rPr>
          <w:rFonts w:ascii="Arial" w:cs="Arial" w:hAnsi="Arial"/>
          <w:sz w:val="24"/>
          <w:szCs w:val="24"/>
        </w:rPr>
      </w:pPr>
      <w:r>
        <w:rPr>
          <w:rFonts w:ascii="Arial" w:cs="Arial" w:hAnsi="Arial"/>
          <w:sz w:val="24"/>
          <w:szCs w:val="24"/>
        </w:rPr>
        <w:t>Filipinas no ratificó la Convención n°169 relativa a los pueblos indígenas y tribales, pero adoptó en 1997 una ley sobre los derechos de las comunidades autóctonas (</w:t>
      </w:r>
      <w:r>
        <w:rPr>
          <w:rFonts w:ascii="Arial" w:cs="Arial" w:hAnsi="Arial"/>
          <w:i/>
          <w:sz w:val="24"/>
          <w:szCs w:val="24"/>
        </w:rPr>
        <w:t xml:space="preserve">Indigenous Peoples Rights Act </w:t>
      </w:r>
      <w:r>
        <w:rPr>
          <w:rFonts w:ascii="Arial" w:cs="Arial" w:hAnsi="Arial"/>
          <w:sz w:val="24"/>
          <w:szCs w:val="24"/>
        </w:rPr>
        <w:t xml:space="preserve">en inglés) que reconoce el derecho de estos pueblos a sus dominios ancestrales. El derecho filipino exige que se celebren procedimientos de consulta (exigencia no cumplida en Didipio). </w:t>
      </w:r>
    </w:p>
    <w:p>
      <w:pPr>
        <w:pStyle w:val="style0"/>
        <w:jc w:val="both"/>
        <w:rPr>
          <w:rFonts w:ascii="Arial" w:cs="Arial" w:hAnsi="Arial"/>
          <w:b/>
          <w:sz w:val="24"/>
          <w:szCs w:val="24"/>
        </w:rPr>
      </w:pPr>
      <w:r>
        <w:rPr>
          <w:rFonts w:ascii="Arial" w:cs="Arial" w:hAnsi="Arial"/>
          <w:b/>
          <w:sz w:val="24"/>
          <w:szCs w:val="24"/>
        </w:rPr>
        <w:t xml:space="preserve">ACTORES </w:t>
      </w:r>
    </w:p>
    <w:p>
      <w:pPr>
        <w:pStyle w:val="style22"/>
        <w:numPr>
          <w:ilvl w:val="0"/>
          <w:numId w:val="2"/>
        </w:numPr>
        <w:jc w:val="both"/>
        <w:rPr>
          <w:rFonts w:ascii="Arial" w:cs="Arial" w:hAnsi="Arial"/>
          <w:b/>
          <w:sz w:val="24"/>
          <w:szCs w:val="24"/>
        </w:rPr>
      </w:pPr>
      <w:r>
        <w:rPr>
          <w:rFonts w:ascii="Arial" w:cs="Arial" w:hAnsi="Arial"/>
          <w:b/>
          <w:sz w:val="24"/>
          <w:szCs w:val="24"/>
        </w:rPr>
        <w:t xml:space="preserve">Actores privados </w:t>
      </w:r>
    </w:p>
    <w:p>
      <w:pPr>
        <w:pStyle w:val="style22"/>
        <w:numPr>
          <w:ilvl w:val="0"/>
          <w:numId w:val="2"/>
        </w:numPr>
        <w:jc w:val="both"/>
        <w:rPr>
          <w:rFonts w:ascii="Arial" w:cs="Arial" w:hAnsi="Arial"/>
          <w:i/>
          <w:sz w:val="24"/>
          <w:szCs w:val="24"/>
        </w:rPr>
      </w:pPr>
      <w:r>
        <w:rPr>
          <w:rFonts w:ascii="Arial" w:cs="Arial" w:hAnsi="Arial"/>
          <w:sz w:val="24"/>
          <w:szCs w:val="24"/>
        </w:rPr>
        <w:t xml:space="preserve">OceanaGold (compañía australiana mayoritaria en la región) detenta el 100% del capital de la empresa </w:t>
      </w:r>
      <w:r>
        <w:rPr>
          <w:rFonts w:ascii="Arial" w:cs="Arial" w:hAnsi="Arial"/>
          <w:i/>
          <w:sz w:val="24"/>
          <w:szCs w:val="24"/>
        </w:rPr>
        <w:t xml:space="preserve">Australasian Philippines Mining Project. </w:t>
      </w:r>
      <w:r>
        <w:rPr>
          <w:rFonts w:ascii="Arial" w:cs="Arial" w:hAnsi="Arial"/>
          <w:sz w:val="24"/>
          <w:szCs w:val="24"/>
        </w:rPr>
        <w:t xml:space="preserve">Desde 2006 </w:t>
      </w:r>
      <w:r>
        <w:rPr>
          <w:rFonts w:ascii="Arial" w:cs="Arial" w:hAnsi="Arial"/>
          <w:i/>
          <w:sz w:val="24"/>
          <w:szCs w:val="24"/>
        </w:rPr>
        <w:t xml:space="preserve">Australasian Philippines Mining Project </w:t>
      </w:r>
      <w:r>
        <w:rPr>
          <w:rFonts w:ascii="Arial" w:cs="Arial" w:hAnsi="Arial"/>
          <w:sz w:val="24"/>
          <w:szCs w:val="24"/>
        </w:rPr>
        <w:t xml:space="preserve">es el operador del proyecto </w:t>
      </w:r>
      <w:r>
        <w:rPr>
          <w:rFonts w:ascii="Arial" w:cs="Arial" w:hAnsi="Arial"/>
          <w:i/>
          <w:sz w:val="24"/>
          <w:szCs w:val="24"/>
        </w:rPr>
        <w:t xml:space="preserve">Didipio Copper Gold Project. </w:t>
      </w:r>
      <w:r>
        <w:rPr>
          <w:rFonts w:ascii="Arial" w:cs="Arial" w:hAnsi="Arial"/>
          <w:sz w:val="24"/>
          <w:szCs w:val="24"/>
        </w:rPr>
        <w:t xml:space="preserve">Antes era administrada por </w:t>
      </w:r>
      <w:r>
        <w:rPr>
          <w:rFonts w:ascii="Arial" w:cs="Arial" w:hAnsi="Arial"/>
          <w:i/>
          <w:sz w:val="24"/>
          <w:szCs w:val="24"/>
        </w:rPr>
        <w:t xml:space="preserve">Climax Arimco Mining Corporation </w:t>
      </w:r>
      <w:r>
        <w:rPr>
          <w:rFonts w:ascii="Arial" w:cs="Arial" w:hAnsi="Arial"/>
          <w:sz w:val="24"/>
          <w:szCs w:val="24"/>
        </w:rPr>
        <w:t xml:space="preserve">pero ésta fue comprada nuevamente por </w:t>
      </w:r>
      <w:r>
        <w:rPr>
          <w:rFonts w:ascii="Arial" w:cs="Arial" w:hAnsi="Arial"/>
          <w:i/>
          <w:sz w:val="24"/>
          <w:szCs w:val="24"/>
        </w:rPr>
        <w:t xml:space="preserve">OceanaGold. </w:t>
      </w:r>
    </w:p>
    <w:p>
      <w:pPr>
        <w:pStyle w:val="style22"/>
        <w:numPr>
          <w:ilvl w:val="0"/>
          <w:numId w:val="2"/>
        </w:numPr>
        <w:jc w:val="both"/>
        <w:rPr>
          <w:rFonts w:ascii="Arial" w:cs="Arial" w:hAnsi="Arial"/>
          <w:i/>
          <w:sz w:val="24"/>
          <w:szCs w:val="24"/>
        </w:rPr>
      </w:pPr>
      <w:r>
        <w:rPr>
          <w:rFonts w:ascii="Arial" w:cs="Arial" w:hAnsi="Arial"/>
          <w:i/>
          <w:sz w:val="24"/>
          <w:szCs w:val="24"/>
        </w:rPr>
        <w:t xml:space="preserve">Royalco Ressources Limited </w:t>
      </w:r>
      <w:r>
        <w:rPr>
          <w:rFonts w:ascii="Arial" w:cs="Arial" w:hAnsi="Arial"/>
          <w:sz w:val="24"/>
          <w:szCs w:val="24"/>
        </w:rPr>
        <w:t xml:space="preserve">es una compañía australiana. </w:t>
      </w:r>
      <w:r>
        <w:rPr>
          <w:rFonts w:ascii="Arial" w:cs="Arial" w:hAnsi="Arial"/>
          <w:sz w:val="24"/>
          <w:szCs w:val="24"/>
          <w:shd w:fill="FFFF00" w:val="clear"/>
        </w:rPr>
        <w:t>Ésta</w:t>
      </w:r>
      <w:r>
        <w:rPr>
          <w:rFonts w:ascii="Arial" w:cs="Arial" w:hAnsi="Arial"/>
          <w:sz w:val="24"/>
          <w:szCs w:val="24"/>
        </w:rPr>
        <w:t xml:space="preserve"> detenta la mayoría del capital de la empresa </w:t>
      </w:r>
      <w:r>
        <w:rPr>
          <w:rFonts w:ascii="Arial" w:cs="Arial" w:hAnsi="Arial"/>
          <w:i/>
          <w:sz w:val="24"/>
          <w:szCs w:val="24"/>
        </w:rPr>
        <w:t xml:space="preserve">Oxiana Phil. Inc. </w:t>
      </w:r>
      <w:r>
        <w:rPr>
          <w:rFonts w:ascii="Arial" w:cs="Arial" w:hAnsi="Arial"/>
          <w:sz w:val="24"/>
          <w:szCs w:val="24"/>
        </w:rPr>
        <w:t xml:space="preserve">que es la operadora del proyecto </w:t>
      </w:r>
      <w:r>
        <w:rPr>
          <w:rFonts w:ascii="Arial" w:cs="Arial" w:hAnsi="Arial"/>
          <w:i/>
          <w:sz w:val="24"/>
          <w:szCs w:val="24"/>
        </w:rPr>
        <w:t xml:space="preserve">Pao-Yabi Project </w:t>
      </w:r>
      <w:r>
        <w:rPr>
          <w:rFonts w:ascii="Arial" w:cs="Arial" w:hAnsi="Arial"/>
          <w:sz w:val="24"/>
          <w:szCs w:val="24"/>
        </w:rPr>
        <w:t xml:space="preserve">en Pao. Previamente, </w:t>
      </w:r>
      <w:r>
        <w:rPr>
          <w:rFonts w:ascii="Arial" w:cs="Arial" w:hAnsi="Arial"/>
          <w:i/>
          <w:sz w:val="24"/>
          <w:szCs w:val="24"/>
        </w:rPr>
        <w:t xml:space="preserve">Oxiana Phil. Inc. </w:t>
      </w:r>
      <w:r>
        <w:rPr>
          <w:rFonts w:ascii="Arial" w:cs="Arial" w:hAnsi="Arial"/>
          <w:sz w:val="24"/>
          <w:szCs w:val="24"/>
        </w:rPr>
        <w:t xml:space="preserve">volvió a comprar </w:t>
      </w:r>
      <w:r>
        <w:rPr>
          <w:rFonts w:ascii="Arial" w:cs="Arial" w:hAnsi="Arial"/>
          <w:i/>
          <w:sz w:val="24"/>
          <w:szCs w:val="24"/>
        </w:rPr>
        <w:t xml:space="preserve">Dalton Pacific. </w:t>
      </w:r>
    </w:p>
    <w:p>
      <w:pPr>
        <w:pStyle w:val="style22"/>
        <w:numPr>
          <w:ilvl w:val="0"/>
          <w:numId w:val="2"/>
        </w:numPr>
        <w:jc w:val="both"/>
        <w:rPr>
          <w:rFonts w:ascii="Arial" w:cs="Arial" w:hAnsi="Arial"/>
          <w:b/>
          <w:i/>
          <w:sz w:val="24"/>
          <w:szCs w:val="24"/>
        </w:rPr>
      </w:pPr>
      <w:r>
        <w:rPr>
          <w:rFonts w:ascii="Arial" w:cs="Arial" w:hAnsi="Arial"/>
          <w:b/>
          <w:i/>
          <w:sz w:val="24"/>
          <w:szCs w:val="24"/>
        </w:rPr>
        <w:t xml:space="preserve">Población víctima </w:t>
      </w:r>
    </w:p>
    <w:p>
      <w:pPr>
        <w:pStyle w:val="style0"/>
        <w:jc w:val="both"/>
        <w:rPr>
          <w:rFonts w:ascii="Arial" w:cs="Arial" w:hAnsi="Arial"/>
          <w:sz w:val="24"/>
          <w:szCs w:val="24"/>
        </w:rPr>
      </w:pPr>
      <w:r>
        <w:rPr>
          <w:rFonts w:ascii="Arial" w:cs="Arial" w:hAnsi="Arial"/>
          <w:sz w:val="24"/>
          <w:szCs w:val="24"/>
        </w:rPr>
        <w:t xml:space="preserve">Los habitantes de los “barangayes” de Pao y de Didipio son víctimas de la instalación de empresas australianas. </w:t>
      </w:r>
    </w:p>
    <w:p>
      <w:pPr>
        <w:pStyle w:val="style0"/>
        <w:jc w:val="both"/>
        <w:rPr>
          <w:rFonts w:ascii="Arial" w:cs="Arial" w:hAnsi="Arial"/>
          <w:b/>
          <w:sz w:val="24"/>
          <w:szCs w:val="24"/>
        </w:rPr>
      </w:pPr>
      <w:r>
        <w:rPr>
          <w:rFonts w:ascii="Arial" w:cs="Arial" w:hAnsi="Arial"/>
          <w:b/>
          <w:sz w:val="24"/>
          <w:szCs w:val="24"/>
        </w:rPr>
        <w:t xml:space="preserve">HISTORIAL </w:t>
      </w:r>
    </w:p>
    <w:p>
      <w:pPr>
        <w:pStyle w:val="style0"/>
        <w:jc w:val="both"/>
        <w:rPr>
          <w:rFonts w:ascii="Arial" w:cs="Arial" w:hAnsi="Arial"/>
          <w:b/>
          <w:sz w:val="24"/>
          <w:szCs w:val="24"/>
        </w:rPr>
      </w:pPr>
      <w:r>
        <w:rPr>
          <w:rFonts w:ascii="Arial" w:cs="Arial" w:hAnsi="Arial"/>
          <w:b/>
          <w:sz w:val="24"/>
          <w:szCs w:val="24"/>
        </w:rPr>
        <w:t xml:space="preserve">1992: </w:t>
      </w:r>
    </w:p>
    <w:p>
      <w:pPr>
        <w:pStyle w:val="style0"/>
        <w:jc w:val="both"/>
        <w:rPr>
          <w:rFonts w:ascii="Arial" w:cs="Arial" w:hAnsi="Arial"/>
          <w:sz w:val="24"/>
          <w:szCs w:val="24"/>
        </w:rPr>
      </w:pPr>
      <w:r>
        <w:rPr>
          <w:rFonts w:ascii="Arial" w:cs="Arial" w:hAnsi="Arial"/>
          <w:sz w:val="24"/>
          <w:szCs w:val="24"/>
        </w:rPr>
        <w:t xml:space="preserve">Primeros intentos de exploración y explotación. </w:t>
      </w:r>
    </w:p>
    <w:p>
      <w:pPr>
        <w:pStyle w:val="style0"/>
        <w:jc w:val="both"/>
        <w:rPr>
          <w:rFonts w:ascii="Arial" w:cs="Arial" w:hAnsi="Arial"/>
          <w:sz w:val="24"/>
          <w:szCs w:val="24"/>
        </w:rPr>
      </w:pPr>
      <w:r>
        <w:rPr>
          <w:rFonts w:ascii="Arial" w:cs="Arial" w:hAnsi="Arial"/>
          <w:b/>
          <w:sz w:val="24"/>
          <w:szCs w:val="24"/>
        </w:rPr>
        <w:t>1994</w:t>
      </w:r>
      <w:r>
        <w:rPr>
          <w:rFonts w:ascii="Arial" w:cs="Arial" w:hAnsi="Arial"/>
          <w:sz w:val="24"/>
          <w:szCs w:val="24"/>
        </w:rPr>
        <w:t xml:space="preserve">:  </w:t>
      </w:r>
    </w:p>
    <w:p>
      <w:pPr>
        <w:pStyle w:val="style0"/>
        <w:jc w:val="both"/>
        <w:rPr>
          <w:rFonts w:ascii="Arial" w:cs="Arial" w:hAnsi="Arial"/>
          <w:sz w:val="24"/>
          <w:szCs w:val="24"/>
        </w:rPr>
      </w:pPr>
      <w:r>
        <w:rPr>
          <w:rFonts w:ascii="Arial" w:cs="Arial" w:hAnsi="Arial"/>
          <w:sz w:val="24"/>
          <w:szCs w:val="24"/>
        </w:rPr>
        <w:t xml:space="preserve">Permiso otorgado por el Ministerio de Medioambiente y Recursos Naturales al proyecto de </w:t>
      </w:r>
      <w:r>
        <w:rPr>
          <w:rFonts w:ascii="Arial" w:cs="Arial" w:hAnsi="Arial"/>
          <w:i/>
          <w:sz w:val="24"/>
          <w:szCs w:val="24"/>
        </w:rPr>
        <w:t xml:space="preserve">OceanaGold. </w:t>
      </w:r>
      <w:r>
        <w:rPr>
          <w:rFonts w:ascii="Arial" w:cs="Arial" w:hAnsi="Arial"/>
          <w:sz w:val="24"/>
          <w:szCs w:val="24"/>
        </w:rPr>
        <w:t xml:space="preserve">Este contrato da derecho a la empresa de explotar durante los próximos 50 años esta zona de 35.000 hectáreas de la cual forma parte Didipio. </w:t>
      </w:r>
    </w:p>
    <w:p>
      <w:pPr>
        <w:pStyle w:val="style0"/>
        <w:jc w:val="both"/>
        <w:rPr>
          <w:rFonts w:ascii="Arial" w:cs="Arial" w:hAnsi="Arial"/>
          <w:sz w:val="24"/>
          <w:szCs w:val="24"/>
        </w:rPr>
      </w:pPr>
      <w:r>
        <w:rPr>
          <w:rFonts w:ascii="Arial" w:cs="Arial" w:hAnsi="Arial"/>
          <w:b/>
          <w:sz w:val="24"/>
          <w:szCs w:val="24"/>
        </w:rPr>
        <w:t>1997</w:t>
      </w:r>
      <w:r>
        <w:rPr>
          <w:rFonts w:ascii="Arial" w:cs="Arial" w:hAnsi="Arial"/>
          <w:sz w:val="24"/>
          <w:szCs w:val="24"/>
        </w:rPr>
        <w:t xml:space="preserve">:  </w:t>
      </w:r>
    </w:p>
    <w:p>
      <w:pPr>
        <w:pStyle w:val="style0"/>
        <w:jc w:val="both"/>
        <w:rPr>
          <w:rFonts w:ascii="Arial" w:cs="Arial" w:hAnsi="Arial"/>
          <w:sz w:val="24"/>
          <w:szCs w:val="24"/>
        </w:rPr>
      </w:pPr>
      <w:r>
        <w:rPr>
          <w:rFonts w:ascii="Arial" w:cs="Arial" w:hAnsi="Arial"/>
          <w:sz w:val="24"/>
          <w:szCs w:val="24"/>
        </w:rPr>
        <w:t xml:space="preserve">Didipio: </w:t>
      </w:r>
      <w:r>
        <w:rPr>
          <w:rFonts w:ascii="Arial" w:cs="Arial" w:hAnsi="Arial"/>
          <w:i/>
          <w:sz w:val="24"/>
          <w:szCs w:val="24"/>
        </w:rPr>
        <w:t xml:space="preserve">Climax Arimco Mining Corporation </w:t>
      </w:r>
      <w:r>
        <w:rPr>
          <w:rFonts w:ascii="Arial" w:cs="Arial" w:hAnsi="Arial"/>
          <w:sz w:val="24"/>
          <w:szCs w:val="24"/>
        </w:rPr>
        <w:t xml:space="preserve">terminó sus actividades de exploración. A la espera de su permiso de explotación, tuvieron lugar las obras de preparación para la explotación (construcción de rutas, etc.) </w:t>
      </w:r>
    </w:p>
    <w:p>
      <w:pPr>
        <w:pStyle w:val="style0"/>
        <w:jc w:val="both"/>
        <w:rPr>
          <w:rFonts w:ascii="Arial" w:cs="Arial" w:hAnsi="Arial"/>
          <w:sz w:val="24"/>
          <w:szCs w:val="24"/>
        </w:rPr>
      </w:pPr>
      <w:r>
        <w:rPr>
          <w:rFonts w:ascii="Arial" w:cs="Arial" w:hAnsi="Arial"/>
          <w:sz w:val="24"/>
          <w:szCs w:val="24"/>
        </w:rPr>
        <w:t xml:space="preserve">Pao: Referéndum sobre las actividades mineras de </w:t>
      </w:r>
      <w:r>
        <w:rPr>
          <w:rFonts w:ascii="Arial" w:cs="Arial" w:hAnsi="Arial"/>
          <w:i/>
          <w:sz w:val="24"/>
          <w:szCs w:val="24"/>
        </w:rPr>
        <w:t xml:space="preserve">Dalton Pacific. </w:t>
      </w:r>
      <w:r>
        <w:rPr>
          <w:rFonts w:ascii="Arial" w:cs="Arial" w:hAnsi="Arial"/>
          <w:sz w:val="24"/>
          <w:szCs w:val="24"/>
        </w:rPr>
        <w:t xml:space="preserve">Rechazo del proyecto por parte de la población. En 1999 </w:t>
      </w:r>
      <w:r>
        <w:rPr>
          <w:rFonts w:ascii="Arial" w:cs="Arial" w:hAnsi="Arial"/>
          <w:i/>
          <w:sz w:val="24"/>
          <w:szCs w:val="24"/>
        </w:rPr>
        <w:t xml:space="preserve">Dalton Pacific </w:t>
      </w:r>
      <w:r>
        <w:rPr>
          <w:rFonts w:ascii="Arial" w:cs="Arial" w:hAnsi="Arial"/>
          <w:sz w:val="24"/>
          <w:szCs w:val="24"/>
        </w:rPr>
        <w:t xml:space="preserve">detuvo sus proyectos a causa de la oposición de la población local. </w:t>
      </w:r>
    </w:p>
    <w:p>
      <w:pPr>
        <w:pStyle w:val="style0"/>
        <w:jc w:val="both"/>
        <w:rPr>
          <w:rFonts w:ascii="Arial" w:cs="Arial" w:hAnsi="Arial"/>
          <w:sz w:val="24"/>
          <w:szCs w:val="24"/>
        </w:rPr>
      </w:pPr>
      <w:r>
        <w:rPr>
          <w:rFonts w:ascii="Arial" w:cs="Arial" w:hAnsi="Arial"/>
          <w:b/>
          <w:sz w:val="24"/>
          <w:szCs w:val="24"/>
        </w:rPr>
        <w:t>2001</w:t>
      </w:r>
      <w:r>
        <w:rPr>
          <w:rFonts w:ascii="Arial" w:cs="Arial" w:hAnsi="Arial"/>
          <w:sz w:val="24"/>
          <w:szCs w:val="24"/>
        </w:rPr>
        <w:t xml:space="preserve">: </w:t>
      </w:r>
    </w:p>
    <w:p>
      <w:pPr>
        <w:pStyle w:val="style0"/>
        <w:jc w:val="both"/>
        <w:rPr>
          <w:rFonts w:ascii="Arial" w:cs="Arial" w:hAnsi="Arial"/>
          <w:sz w:val="24"/>
          <w:szCs w:val="24"/>
        </w:rPr>
      </w:pPr>
      <w:r>
        <w:rPr>
          <w:rFonts w:ascii="Arial" w:cs="Arial" w:hAnsi="Arial"/>
          <w:sz w:val="24"/>
          <w:szCs w:val="24"/>
        </w:rPr>
        <w:t xml:space="preserve">En base al referéndum de 1997, la municipalidad dicta una resolución que descarta legalmente las operaciones el proyecto </w:t>
      </w:r>
      <w:r>
        <w:rPr>
          <w:rFonts w:ascii="Arial" w:cs="Arial" w:hAnsi="Arial"/>
          <w:i/>
          <w:sz w:val="24"/>
          <w:szCs w:val="24"/>
        </w:rPr>
        <w:t xml:space="preserve">Australasian Philippines Mining Project </w:t>
      </w:r>
      <w:r>
        <w:rPr>
          <w:rFonts w:ascii="Arial" w:cs="Arial" w:hAnsi="Arial"/>
          <w:sz w:val="24"/>
          <w:szCs w:val="24"/>
        </w:rPr>
        <w:t xml:space="preserve">en Didipio. </w:t>
      </w:r>
    </w:p>
    <w:p>
      <w:pPr>
        <w:pStyle w:val="style0"/>
        <w:jc w:val="both"/>
        <w:rPr>
          <w:rFonts w:ascii="Arial" w:cs="Arial" w:hAnsi="Arial"/>
          <w:sz w:val="24"/>
          <w:szCs w:val="24"/>
        </w:rPr>
      </w:pPr>
      <w:r>
        <w:rPr>
          <w:rFonts w:ascii="Arial" w:cs="Arial" w:hAnsi="Arial"/>
          <w:b/>
          <w:sz w:val="24"/>
          <w:szCs w:val="24"/>
        </w:rPr>
        <w:t>2003</w:t>
      </w:r>
      <w:r>
        <w:rPr>
          <w:rFonts w:ascii="Arial" w:cs="Arial" w:hAnsi="Arial"/>
          <w:sz w:val="24"/>
          <w:szCs w:val="24"/>
        </w:rPr>
        <w:t xml:space="preserve">: </w:t>
      </w:r>
    </w:p>
    <w:p>
      <w:pPr>
        <w:pStyle w:val="style0"/>
        <w:jc w:val="both"/>
        <w:rPr>
          <w:rFonts w:ascii="Arial" w:cs="Arial" w:hAnsi="Arial"/>
          <w:sz w:val="24"/>
          <w:szCs w:val="24"/>
        </w:rPr>
      </w:pPr>
      <w:r>
        <w:rPr>
          <w:rFonts w:ascii="Arial" w:cs="Arial" w:hAnsi="Arial"/>
          <w:i/>
          <w:sz w:val="24"/>
          <w:szCs w:val="24"/>
        </w:rPr>
        <w:t xml:space="preserve">Oxiana Phil Inc. </w:t>
      </w:r>
      <w:r>
        <w:rPr>
          <w:rFonts w:ascii="Arial" w:cs="Arial" w:hAnsi="Arial"/>
          <w:sz w:val="24"/>
          <w:szCs w:val="24"/>
        </w:rPr>
        <w:t xml:space="preserve">recibe su permiso de exploración para el proyecto “Pao-Yabi” y a pesar de que su validez llegaba hasta marzo de 2007, fue prolongado 20 meses. Requerimiento a la Corte Suprema que cuestiona la constitucionalidad de la ley de 1995 y la legalidad del permiso otorgado a </w:t>
      </w:r>
      <w:r>
        <w:rPr>
          <w:rFonts w:ascii="Arial" w:cs="Arial" w:hAnsi="Arial"/>
          <w:i/>
          <w:sz w:val="24"/>
          <w:szCs w:val="24"/>
        </w:rPr>
        <w:t xml:space="preserve">Climax Arimco Mining Corporation </w:t>
      </w:r>
      <w:r>
        <w:rPr>
          <w:rFonts w:ascii="Arial" w:cs="Arial" w:hAnsi="Arial"/>
          <w:sz w:val="24"/>
          <w:szCs w:val="24"/>
        </w:rPr>
        <w:t xml:space="preserve">que permite el 100% de propiedad extranjera lo que violaría la protección constitucional del patrimonio nacional. </w:t>
      </w:r>
      <w:r>
        <w:rPr>
          <w:rFonts w:ascii="Arial" w:cs="Arial" w:hAnsi="Arial"/>
          <w:i/>
          <w:sz w:val="24"/>
          <w:szCs w:val="24"/>
        </w:rPr>
        <w:t xml:space="preserve">Oxiana Phil. Inc. </w:t>
      </w:r>
      <w:r>
        <w:rPr>
          <w:rFonts w:ascii="Arial" w:cs="Arial" w:hAnsi="Arial"/>
          <w:sz w:val="24"/>
          <w:szCs w:val="24"/>
        </w:rPr>
        <w:t xml:space="preserve">comenzó a hacer reuniones informales con las comunidades sin concertación con los electos locales. </w:t>
      </w:r>
    </w:p>
    <w:p>
      <w:pPr>
        <w:pStyle w:val="style0"/>
        <w:jc w:val="both"/>
        <w:rPr>
          <w:rFonts w:ascii="Arial" w:cs="Arial" w:hAnsi="Arial"/>
          <w:sz w:val="24"/>
          <w:szCs w:val="24"/>
        </w:rPr>
      </w:pPr>
      <w:r>
        <w:rPr>
          <w:rFonts w:ascii="Arial" w:cs="Arial" w:hAnsi="Arial"/>
          <w:b/>
          <w:sz w:val="24"/>
          <w:szCs w:val="24"/>
        </w:rPr>
        <w:t>2005</w:t>
      </w:r>
      <w:r>
        <w:rPr>
          <w:rFonts w:ascii="Arial" w:cs="Arial" w:hAnsi="Arial"/>
          <w:sz w:val="24"/>
          <w:szCs w:val="24"/>
        </w:rPr>
        <w:t xml:space="preserve">: </w:t>
      </w:r>
    </w:p>
    <w:p>
      <w:pPr>
        <w:pStyle w:val="style0"/>
        <w:jc w:val="both"/>
        <w:rPr>
          <w:rFonts w:ascii="Arial" w:cs="Arial" w:hAnsi="Arial"/>
          <w:i/>
          <w:sz w:val="24"/>
          <w:szCs w:val="24"/>
        </w:rPr>
      </w:pPr>
      <w:r>
        <w:rPr>
          <w:rFonts w:ascii="Arial" w:cs="Arial" w:hAnsi="Arial"/>
          <w:sz w:val="24"/>
          <w:szCs w:val="24"/>
        </w:rPr>
        <w:t xml:space="preserve">Junio: los residentes de Pao y de Kakidungen </w:t>
      </w:r>
      <w:r>
        <w:rPr>
          <w:rFonts w:ascii="Arial" w:cs="Arial" w:hAnsi="Arial"/>
          <w:sz w:val="24"/>
          <w:szCs w:val="24"/>
          <w:shd w:fill="FFFF00" w:val="clear"/>
        </w:rPr>
        <w:t>realizaron un requerimiento</w:t>
      </w:r>
      <w:r>
        <w:rPr>
          <w:rFonts w:ascii="Arial" w:cs="Arial" w:hAnsi="Arial"/>
          <w:sz w:val="24"/>
          <w:szCs w:val="24"/>
        </w:rPr>
        <w:t xml:space="preserve"> contra </w:t>
      </w:r>
      <w:r>
        <w:rPr>
          <w:rFonts w:ascii="Arial" w:cs="Arial" w:hAnsi="Arial"/>
          <w:i/>
          <w:sz w:val="24"/>
          <w:szCs w:val="24"/>
        </w:rPr>
        <w:t xml:space="preserve">Oxiana Phil. Inc. </w:t>
      </w:r>
      <w:r>
        <w:rPr>
          <w:rFonts w:ascii="Arial" w:cs="Arial" w:hAnsi="Arial"/>
          <w:sz w:val="24"/>
          <w:szCs w:val="24"/>
        </w:rPr>
        <w:t>ante la Comisión Nacional de Pueblos Autóctonos (</w:t>
      </w:r>
      <w:r>
        <w:rPr>
          <w:rFonts w:ascii="Arial" w:cs="Arial" w:hAnsi="Arial"/>
          <w:i/>
          <w:sz w:val="24"/>
          <w:szCs w:val="24"/>
        </w:rPr>
        <w:t xml:space="preserve">National Commision on Indigenous People). </w:t>
      </w:r>
      <w:r>
        <w:rPr>
          <w:rFonts w:ascii="Arial" w:cs="Arial" w:hAnsi="Arial"/>
          <w:sz w:val="24"/>
          <w:szCs w:val="24"/>
        </w:rPr>
        <w:t>El requerimiento está fundado sobre el hecho de que el procedimiento de autorización no fue llevado a cabo antes del inicio de las obras, sin embargo los dos barangayes están protegidos por el Acta de los derechos de los pueblos autóctonos sobre su tierra (</w:t>
      </w:r>
      <w:r>
        <w:rPr>
          <w:rFonts w:ascii="Arial" w:cs="Arial" w:hAnsi="Arial"/>
          <w:i/>
          <w:sz w:val="24"/>
          <w:szCs w:val="24"/>
        </w:rPr>
        <w:t xml:space="preserve">Certificate of Ancestral Domain). </w:t>
      </w:r>
    </w:p>
    <w:p>
      <w:pPr>
        <w:pStyle w:val="style0"/>
        <w:jc w:val="both"/>
        <w:rPr>
          <w:rFonts w:ascii="Arial" w:cs="Arial" w:hAnsi="Arial"/>
          <w:sz w:val="24"/>
          <w:szCs w:val="24"/>
        </w:rPr>
      </w:pPr>
      <w:r>
        <w:rPr>
          <w:rFonts w:ascii="Arial" w:cs="Arial" w:hAnsi="Arial"/>
          <w:sz w:val="24"/>
          <w:szCs w:val="24"/>
        </w:rPr>
        <w:t xml:space="preserve">12 de julio: orden de detener o retrasar las actividades mineras durante 20 días. </w:t>
      </w:r>
    </w:p>
    <w:p>
      <w:pPr>
        <w:pStyle w:val="style0"/>
        <w:jc w:val="both"/>
        <w:rPr>
          <w:rFonts w:ascii="Arial" w:cs="Arial" w:hAnsi="Arial"/>
          <w:sz w:val="24"/>
          <w:szCs w:val="24"/>
        </w:rPr>
      </w:pPr>
      <w:r>
        <w:rPr>
          <w:rFonts w:ascii="Arial" w:cs="Arial" w:hAnsi="Arial"/>
          <w:sz w:val="24"/>
          <w:szCs w:val="24"/>
        </w:rPr>
        <w:t xml:space="preserve">8 de agosto: la municipalidad de Didipio vota contra el proyecto. </w:t>
      </w:r>
    </w:p>
    <w:p>
      <w:pPr>
        <w:pStyle w:val="style0"/>
        <w:jc w:val="both"/>
        <w:rPr>
          <w:rFonts w:ascii="Arial" w:cs="Arial" w:hAnsi="Arial"/>
          <w:sz w:val="24"/>
          <w:szCs w:val="24"/>
        </w:rPr>
      </w:pPr>
      <w:r>
        <w:rPr>
          <w:rFonts w:ascii="Arial" w:cs="Arial" w:hAnsi="Arial"/>
          <w:sz w:val="24"/>
          <w:szCs w:val="24"/>
        </w:rPr>
        <w:t>Agosto: orden de cumplimiento del procedimiento que verifica la aprobación de la población. Para realizar esta consulta, la comisión nacional de las poblaciones autóctonas pidió a los dos jefes de los distritos que firmaran el plano WFP (</w:t>
      </w:r>
      <w:r>
        <w:rPr>
          <w:rFonts w:ascii="Arial" w:cs="Arial" w:hAnsi="Arial"/>
          <w:i/>
          <w:sz w:val="24"/>
          <w:szCs w:val="24"/>
        </w:rPr>
        <w:t xml:space="preserve">work &amp; financial plan). </w:t>
      </w:r>
      <w:r>
        <w:rPr>
          <w:rFonts w:ascii="Arial" w:cs="Arial" w:hAnsi="Arial"/>
          <w:sz w:val="24"/>
          <w:szCs w:val="24"/>
        </w:rPr>
        <w:t>Ambos jefes rechazaron l</w:t>
      </w:r>
      <w:r>
        <w:rPr>
          <w:rFonts w:ascii="Arial" w:cs="Arial" w:hAnsi="Arial"/>
          <w:sz w:val="24"/>
          <w:szCs w:val="24"/>
          <w:shd w:fill="FFFF00" w:val="clear"/>
        </w:rPr>
        <w:t>os planos</w:t>
      </w:r>
      <w:r>
        <w:rPr>
          <w:rFonts w:ascii="Arial" w:cs="Arial" w:hAnsi="Arial"/>
          <w:sz w:val="24"/>
          <w:szCs w:val="24"/>
        </w:rPr>
        <w:t xml:space="preserve"> de explotación minera a gran escala. Frente a esto, la compañía </w:t>
      </w:r>
      <w:r>
        <w:rPr>
          <w:rFonts w:ascii="Arial" w:cs="Arial" w:hAnsi="Arial"/>
          <w:i/>
          <w:sz w:val="24"/>
          <w:szCs w:val="24"/>
        </w:rPr>
        <w:t xml:space="preserve">Oxiana Phil. Inc. </w:t>
      </w:r>
      <w:r>
        <w:rPr>
          <w:rFonts w:ascii="Arial" w:cs="Arial" w:hAnsi="Arial"/>
          <w:sz w:val="24"/>
          <w:szCs w:val="24"/>
        </w:rPr>
        <w:t xml:space="preserve">busca otra estrategia legal para llevar a cabo exitosamente su procedimiento de consulta y de este modo continuar su proyecto económico. </w:t>
      </w:r>
      <w:r>
        <w:rPr>
          <w:rFonts w:ascii="Arial" w:cs="Arial" w:hAnsi="Arial"/>
          <w:sz w:val="24"/>
          <w:szCs w:val="24"/>
          <w:shd w:fill="FFFF00" w:val="clear"/>
        </w:rPr>
        <w:t>Ésta</w:t>
      </w:r>
      <w:r>
        <w:rPr>
          <w:rFonts w:ascii="Arial" w:cs="Arial" w:hAnsi="Arial"/>
          <w:sz w:val="24"/>
          <w:szCs w:val="24"/>
        </w:rPr>
        <w:t xml:space="preserve"> utiliza la orden legal n°5 de la Comisión Nacional de los Pueblos Autóctonos que resuelve que </w:t>
      </w:r>
      <w:r>
        <w:rPr>
          <w:rFonts w:ascii="Arial" w:cs="Arial" w:hAnsi="Arial"/>
          <w:sz w:val="24"/>
          <w:szCs w:val="24"/>
          <w:shd w:fill="FFFF00" w:val="clear"/>
        </w:rPr>
        <w:t>sólo</w:t>
      </w:r>
      <w:r>
        <w:rPr>
          <w:rFonts w:ascii="Arial" w:cs="Arial" w:hAnsi="Arial"/>
          <w:sz w:val="24"/>
          <w:szCs w:val="24"/>
        </w:rPr>
        <w:t xml:space="preserve"> las poblaciones autóctonas originarias necesitan ser consultadas; esto descarta a todo el resto de la comunidad. </w:t>
      </w:r>
    </w:p>
    <w:p>
      <w:pPr>
        <w:pStyle w:val="style0"/>
        <w:jc w:val="both"/>
        <w:rPr>
          <w:rFonts w:ascii="Arial" w:cs="Arial" w:hAnsi="Arial"/>
          <w:sz w:val="24"/>
          <w:szCs w:val="24"/>
        </w:rPr>
      </w:pPr>
      <w:r>
        <w:rPr>
          <w:rFonts w:ascii="Arial" w:cs="Arial" w:hAnsi="Arial"/>
          <w:sz w:val="24"/>
          <w:szCs w:val="24"/>
        </w:rPr>
        <w:t xml:space="preserve">Octubre: el Ministerio de Medioambiente y Recursos Naturales expide un permiso de construcción para el proyecto </w:t>
      </w:r>
      <w:r>
        <w:rPr>
          <w:rFonts w:ascii="Arial" w:cs="Arial" w:hAnsi="Arial"/>
          <w:i/>
          <w:sz w:val="24"/>
          <w:szCs w:val="24"/>
        </w:rPr>
        <w:t xml:space="preserve">Didipio Copper Gold Project </w:t>
      </w:r>
      <w:r>
        <w:rPr>
          <w:rFonts w:ascii="Arial" w:cs="Arial" w:hAnsi="Arial"/>
          <w:sz w:val="24"/>
          <w:szCs w:val="24"/>
        </w:rPr>
        <w:t xml:space="preserve">(que realiza obras de pre-explotación). </w:t>
      </w:r>
    </w:p>
    <w:p>
      <w:pPr>
        <w:pStyle w:val="style0"/>
        <w:jc w:val="both"/>
        <w:rPr>
          <w:rFonts w:ascii="Arial" w:cs="Arial" w:hAnsi="Arial"/>
          <w:sz w:val="24"/>
          <w:szCs w:val="24"/>
        </w:rPr>
      </w:pPr>
      <w:r>
        <w:rPr>
          <w:rFonts w:ascii="Arial" w:cs="Arial" w:hAnsi="Arial"/>
          <w:b/>
          <w:sz w:val="24"/>
          <w:szCs w:val="24"/>
        </w:rPr>
        <w:t>2006</w:t>
      </w:r>
      <w:r>
        <w:rPr>
          <w:rFonts w:ascii="Arial" w:cs="Arial" w:hAnsi="Arial"/>
          <w:sz w:val="24"/>
          <w:szCs w:val="24"/>
        </w:rPr>
        <w:t xml:space="preserve">:  </w:t>
      </w:r>
    </w:p>
    <w:p>
      <w:pPr>
        <w:pStyle w:val="style0"/>
        <w:jc w:val="both"/>
        <w:rPr>
          <w:rFonts w:ascii="Arial" w:cs="Arial" w:hAnsi="Arial"/>
          <w:sz w:val="24"/>
          <w:szCs w:val="24"/>
        </w:rPr>
      </w:pPr>
      <w:r>
        <w:rPr>
          <w:rFonts w:ascii="Arial" w:cs="Arial" w:hAnsi="Arial"/>
          <w:sz w:val="24"/>
          <w:szCs w:val="24"/>
        </w:rPr>
        <w:t xml:space="preserve">30 de marzo: La Corte Suprema responde negativamente al requerimiento de </w:t>
      </w:r>
      <w:r>
        <w:rPr>
          <w:rFonts w:ascii="Arial" w:cs="Arial" w:hAnsi="Arial"/>
          <w:i/>
          <w:sz w:val="24"/>
          <w:szCs w:val="24"/>
        </w:rPr>
        <w:t xml:space="preserve">Didipio Earth Savers multi- Purpose Association </w:t>
      </w:r>
      <w:r>
        <w:rPr>
          <w:rFonts w:ascii="Arial" w:cs="Arial" w:hAnsi="Arial"/>
          <w:sz w:val="24"/>
          <w:szCs w:val="24"/>
        </w:rPr>
        <w:t xml:space="preserve">(DESAMA) </w:t>
      </w:r>
    </w:p>
    <w:p>
      <w:pPr>
        <w:pStyle w:val="style0"/>
        <w:jc w:val="both"/>
        <w:rPr>
          <w:rFonts w:ascii="Arial" w:cs="Arial" w:hAnsi="Arial"/>
          <w:sz w:val="24"/>
          <w:szCs w:val="24"/>
        </w:rPr>
      </w:pPr>
      <w:r>
        <w:rPr>
          <w:rFonts w:ascii="Arial" w:cs="Arial" w:hAnsi="Arial"/>
          <w:sz w:val="24"/>
          <w:szCs w:val="24"/>
        </w:rPr>
        <w:t xml:space="preserve">Abril: DESAMA vuelve a recurrir a la Corte Suprema. DESAMA cuestiona al Ministerio de Medioambiente y Recursos Naturales y a </w:t>
      </w:r>
      <w:r>
        <w:rPr>
          <w:rFonts w:ascii="Arial" w:cs="Arial" w:hAnsi="Arial"/>
          <w:i/>
          <w:sz w:val="24"/>
          <w:szCs w:val="24"/>
        </w:rPr>
        <w:t xml:space="preserve">Australasian Philippines Mining Project </w:t>
      </w:r>
      <w:r>
        <w:rPr>
          <w:rFonts w:ascii="Arial" w:cs="Arial" w:hAnsi="Arial"/>
          <w:sz w:val="24"/>
          <w:szCs w:val="24"/>
        </w:rPr>
        <w:t xml:space="preserve">ante el tribunal regional por no respetar las condiciones del certificado de conformidad medioambiental. </w:t>
      </w:r>
    </w:p>
    <w:p>
      <w:pPr>
        <w:pStyle w:val="style0"/>
        <w:jc w:val="both"/>
        <w:rPr>
          <w:rFonts w:ascii="Arial" w:cs="Arial" w:hAnsi="Arial"/>
          <w:sz w:val="24"/>
          <w:szCs w:val="24"/>
        </w:rPr>
      </w:pPr>
      <w:r>
        <w:rPr>
          <w:rFonts w:ascii="Arial" w:cs="Arial" w:hAnsi="Arial"/>
          <w:sz w:val="24"/>
          <w:szCs w:val="24"/>
        </w:rPr>
        <w:t xml:space="preserve">Mayo: adquisición de </w:t>
      </w:r>
      <w:r>
        <w:rPr>
          <w:rFonts w:ascii="Arial" w:cs="Arial" w:hAnsi="Arial"/>
          <w:i/>
          <w:sz w:val="24"/>
          <w:szCs w:val="24"/>
        </w:rPr>
        <w:t>Oxiana Phil. Inc. (</w:t>
      </w:r>
      <w:r>
        <w:rPr>
          <w:rFonts w:ascii="Arial" w:cs="Arial" w:hAnsi="Arial"/>
          <w:sz w:val="24"/>
          <w:szCs w:val="24"/>
        </w:rPr>
        <w:t xml:space="preserve">OPI) por </w:t>
      </w:r>
      <w:r>
        <w:rPr>
          <w:rFonts w:ascii="Arial" w:cs="Arial" w:hAnsi="Arial"/>
          <w:i/>
          <w:sz w:val="24"/>
          <w:szCs w:val="24"/>
        </w:rPr>
        <w:t xml:space="preserve">Royalco Ressources Limited </w:t>
      </w:r>
      <w:r>
        <w:rPr>
          <w:rFonts w:ascii="Arial" w:cs="Arial" w:hAnsi="Arial"/>
          <w:sz w:val="24"/>
          <w:szCs w:val="24"/>
        </w:rPr>
        <w:t>(OPI se convierte en filial de RCO).</w:t>
      </w:r>
    </w:p>
    <w:p>
      <w:pPr>
        <w:pStyle w:val="style0"/>
        <w:jc w:val="both"/>
        <w:rPr>
          <w:rFonts w:ascii="Arial" w:cs="Arial" w:hAnsi="Arial"/>
          <w:sz w:val="24"/>
          <w:szCs w:val="24"/>
        </w:rPr>
      </w:pPr>
      <w:r>
        <w:rPr>
          <w:rFonts w:ascii="Arial" w:cs="Arial" w:hAnsi="Arial"/>
          <w:b/>
          <w:sz w:val="24"/>
          <w:szCs w:val="24"/>
        </w:rPr>
        <w:t>2007</w:t>
      </w:r>
      <w:r>
        <w:rPr>
          <w:rFonts w:ascii="Arial" w:cs="Arial" w:hAnsi="Arial"/>
          <w:sz w:val="24"/>
          <w:szCs w:val="24"/>
        </w:rPr>
        <w:t xml:space="preserve">: </w:t>
      </w:r>
    </w:p>
    <w:p>
      <w:pPr>
        <w:pStyle w:val="style0"/>
        <w:jc w:val="both"/>
        <w:rPr>
          <w:rFonts w:ascii="Arial" w:cs="Arial" w:hAnsi="Arial"/>
          <w:sz w:val="24"/>
          <w:szCs w:val="24"/>
        </w:rPr>
      </w:pPr>
      <w:r>
        <w:rPr>
          <w:rFonts w:ascii="Arial" w:cs="Arial" w:hAnsi="Arial"/>
          <w:sz w:val="24"/>
          <w:szCs w:val="24"/>
        </w:rPr>
        <w:t xml:space="preserve">Enero: El Ministerio de Medioambiente y Recursos Naturales y de la compañía, acompañados de militares, </w:t>
      </w:r>
      <w:r>
        <w:rPr>
          <w:rFonts w:ascii="Arial" w:cs="Arial" w:hAnsi="Arial"/>
          <w:sz w:val="24"/>
          <w:szCs w:val="24"/>
          <w:shd w:fill="FFFF00" w:val="clear"/>
        </w:rPr>
        <w:t>entregan</w:t>
      </w:r>
      <w:r>
        <w:rPr>
          <w:rFonts w:ascii="Arial" w:cs="Arial" w:hAnsi="Arial"/>
          <w:sz w:val="24"/>
          <w:szCs w:val="24"/>
        </w:rPr>
        <w:t xml:space="preserve"> una orden a los residentes de Didipio que dice que el gobierno no reconoce más a los residentes como los propietarios legales de sus tierras. </w:t>
      </w:r>
    </w:p>
    <w:p>
      <w:pPr>
        <w:pStyle w:val="style0"/>
        <w:jc w:val="both"/>
        <w:rPr>
          <w:rFonts w:ascii="Arial" w:cs="Arial" w:hAnsi="Arial"/>
          <w:sz w:val="24"/>
          <w:szCs w:val="24"/>
        </w:rPr>
      </w:pPr>
      <w:r>
        <w:rPr>
          <w:rFonts w:ascii="Arial" w:cs="Arial" w:hAnsi="Arial"/>
          <w:sz w:val="24"/>
          <w:szCs w:val="24"/>
        </w:rPr>
        <w:t xml:space="preserve">Febrero: Primera consulta prevista con respuesta favorable para el proyecto. Los jefes dicen que eso no refleja la realidad del sentimiento de su comunidad. Denuncian las maneras fraudulentas y engañosas puestas en marcha/realizadas en esta consulta (las firmas de las planillas de asistencia fueron consideradas como firmas que validan el proyecto; distribución de alimentos y bebidas alcohólicas para atraer personas durante las consultas; divulgación de información falsa acerca del tamaño e impactos del proyecto, retención de información) </w:t>
      </w:r>
    </w:p>
    <w:p>
      <w:pPr>
        <w:pStyle w:val="style0"/>
        <w:jc w:val="both"/>
        <w:rPr>
          <w:rFonts w:ascii="Arial" w:cs="Arial" w:hAnsi="Arial"/>
          <w:sz w:val="24"/>
          <w:szCs w:val="24"/>
        </w:rPr>
      </w:pPr>
      <w:r>
        <w:rPr>
          <w:rFonts w:ascii="Arial" w:cs="Arial" w:hAnsi="Arial"/>
          <w:sz w:val="24"/>
          <w:szCs w:val="24"/>
        </w:rPr>
        <w:t xml:space="preserve">Mayo: elecciones locales y nacionales. </w:t>
      </w:r>
    </w:p>
    <w:p>
      <w:pPr>
        <w:pStyle w:val="style0"/>
        <w:jc w:val="both"/>
        <w:rPr>
          <w:rFonts w:ascii="Arial" w:cs="Arial" w:hAnsi="Arial"/>
          <w:sz w:val="24"/>
          <w:szCs w:val="24"/>
        </w:rPr>
      </w:pPr>
      <w:r>
        <w:rPr>
          <w:rFonts w:ascii="Arial" w:cs="Arial" w:hAnsi="Arial"/>
          <w:sz w:val="24"/>
          <w:szCs w:val="24"/>
        </w:rPr>
        <w:t xml:space="preserve">Julio: los residentes crean barricadas para impedir las obras de la compañía. Varios intentos para hacer respetar la decisión de la Corte, que autoriza la perforación y la instalación de maquinaria de explotación, fracasaron gracias a las barricadas. </w:t>
      </w:r>
    </w:p>
    <w:p>
      <w:pPr>
        <w:pStyle w:val="style0"/>
        <w:jc w:val="both"/>
        <w:rPr>
          <w:rFonts w:ascii="Arial" w:cs="Arial" w:hAnsi="Arial"/>
          <w:sz w:val="24"/>
          <w:szCs w:val="24"/>
        </w:rPr>
      </w:pPr>
      <w:r>
        <w:rPr>
          <w:rFonts w:ascii="Arial" w:cs="Arial" w:hAnsi="Arial"/>
          <w:b/>
          <w:sz w:val="24"/>
          <w:szCs w:val="24"/>
        </w:rPr>
        <w:t>2008</w:t>
      </w:r>
      <w:r>
        <w:rPr>
          <w:rFonts w:ascii="Arial" w:cs="Arial" w:hAnsi="Arial"/>
          <w:sz w:val="24"/>
          <w:szCs w:val="24"/>
        </w:rPr>
        <w:t xml:space="preserve">:  </w:t>
      </w:r>
    </w:p>
    <w:p>
      <w:pPr>
        <w:pStyle w:val="style0"/>
        <w:jc w:val="both"/>
        <w:rPr>
          <w:rFonts w:ascii="Arial" w:cs="Arial" w:hAnsi="Arial"/>
          <w:sz w:val="24"/>
          <w:szCs w:val="24"/>
        </w:rPr>
      </w:pPr>
      <w:r>
        <w:rPr>
          <w:rFonts w:ascii="Arial" w:cs="Arial" w:hAnsi="Arial"/>
          <w:sz w:val="24"/>
          <w:szCs w:val="24"/>
        </w:rPr>
        <w:t xml:space="preserve">Junio: </w:t>
      </w:r>
      <w:r>
        <w:rPr>
          <w:rFonts w:ascii="Arial" w:cs="Arial" w:hAnsi="Arial"/>
          <w:i/>
          <w:sz w:val="24"/>
          <w:szCs w:val="24"/>
        </w:rPr>
        <w:t xml:space="preserve">Oxiana Phil. Inc. </w:t>
      </w:r>
      <w:r>
        <w:rPr>
          <w:rFonts w:ascii="Arial" w:cs="Arial" w:hAnsi="Arial"/>
          <w:sz w:val="24"/>
          <w:szCs w:val="24"/>
        </w:rPr>
        <w:t xml:space="preserve">recibe su orden de explotación. </w:t>
      </w:r>
    </w:p>
    <w:p>
      <w:pPr>
        <w:pStyle w:val="style0"/>
        <w:jc w:val="both"/>
        <w:rPr>
          <w:rFonts w:ascii="Arial" w:cs="Arial" w:hAnsi="Arial"/>
          <w:b/>
          <w:sz w:val="24"/>
          <w:szCs w:val="24"/>
        </w:rPr>
      </w:pPr>
      <w:r>
        <w:rPr>
          <w:rFonts w:ascii="Arial" w:cs="Arial" w:hAnsi="Arial"/>
          <w:b/>
          <w:sz w:val="24"/>
          <w:szCs w:val="24"/>
        </w:rPr>
        <w:t xml:space="preserve">MÉTODOS DE MOVILIZACIÓN </w:t>
      </w:r>
    </w:p>
    <w:p>
      <w:pPr>
        <w:pStyle w:val="style22"/>
        <w:numPr>
          <w:ilvl w:val="0"/>
          <w:numId w:val="3"/>
        </w:numPr>
        <w:jc w:val="both"/>
        <w:rPr>
          <w:rFonts w:ascii="Arial" w:cs="Arial" w:hAnsi="Arial"/>
          <w:sz w:val="24"/>
          <w:szCs w:val="24"/>
        </w:rPr>
      </w:pPr>
      <w:r>
        <w:rPr>
          <w:rFonts w:ascii="Arial" w:cs="Arial" w:hAnsi="Arial"/>
          <w:b/>
          <w:sz w:val="24"/>
          <w:szCs w:val="24"/>
        </w:rPr>
        <w:t xml:space="preserve">Acción directa (creación de barricadas). </w:t>
      </w:r>
      <w:r>
        <w:rPr>
          <w:rFonts w:ascii="Arial" w:cs="Arial" w:hAnsi="Arial"/>
          <w:sz w:val="24"/>
          <w:szCs w:val="24"/>
        </w:rPr>
        <w:t xml:space="preserve">En 2007, durante su oposición a la continuación de las obras de explotación de la mina, los habitantes se turnaron para levantar barricadas en las rutas. Susceptibles de ser acusados de actos delictivos, trasfirieron sus barricadas en el terreno privado que pertenece a un propietario opositor al proyecto de explotación. </w:t>
      </w:r>
    </w:p>
    <w:p>
      <w:pPr>
        <w:pStyle w:val="style22"/>
        <w:numPr>
          <w:ilvl w:val="0"/>
          <w:numId w:val="3"/>
        </w:numPr>
        <w:jc w:val="both"/>
        <w:rPr>
          <w:rFonts w:ascii="Arial" w:cs="Arial" w:hAnsi="Arial"/>
          <w:sz w:val="24"/>
          <w:szCs w:val="24"/>
        </w:rPr>
      </w:pPr>
      <w:r>
        <w:rPr>
          <w:rFonts w:ascii="Arial" w:cs="Arial" w:hAnsi="Arial"/>
          <w:b/>
          <w:sz w:val="24"/>
          <w:szCs w:val="24"/>
        </w:rPr>
        <w:t xml:space="preserve">Sensibilización y educación de los pueblos sobre el tema de la explotación minera. </w:t>
      </w:r>
      <w:r>
        <w:rPr>
          <w:rFonts w:ascii="Arial" w:cs="Arial" w:hAnsi="Arial"/>
          <w:i/>
          <w:sz w:val="24"/>
          <w:szCs w:val="24"/>
        </w:rPr>
        <w:t xml:space="preserve">PhilRights </w:t>
      </w:r>
      <w:r>
        <w:rPr>
          <w:rFonts w:ascii="Arial" w:cs="Arial" w:hAnsi="Arial"/>
          <w:sz w:val="24"/>
          <w:szCs w:val="24"/>
        </w:rPr>
        <w:t xml:space="preserve">aconsejó a las </w:t>
      </w:r>
      <w:r>
        <w:rPr>
          <w:rFonts w:ascii="Arial" w:cs="Arial" w:hAnsi="Arial"/>
          <w:sz w:val="24"/>
          <w:szCs w:val="24"/>
          <w:shd w:fill="FFFF00" w:val="clear"/>
        </w:rPr>
        <w:t>ONG</w:t>
      </w:r>
      <w:r>
        <w:rPr>
          <w:rFonts w:ascii="Arial" w:cs="Arial" w:hAnsi="Arial"/>
          <w:sz w:val="24"/>
          <w:szCs w:val="24"/>
        </w:rPr>
        <w:t xml:space="preserve"> y asociaciones movilizadas de acentuar las acciones de sensibilización frente a la población antes de las elecciones para que los votantes incluyan el problema planteado en su elección. </w:t>
      </w:r>
      <w:r>
        <w:rPr>
          <w:rFonts w:ascii="Arial" w:cs="Arial" w:hAnsi="Arial"/>
          <w:i/>
          <w:sz w:val="24"/>
          <w:szCs w:val="24"/>
        </w:rPr>
        <w:t xml:space="preserve">PhilRights </w:t>
      </w:r>
      <w:r>
        <w:rPr>
          <w:rFonts w:ascii="Arial" w:cs="Arial" w:hAnsi="Arial"/>
          <w:sz w:val="24"/>
          <w:szCs w:val="24"/>
        </w:rPr>
        <w:t xml:space="preserve">organizó varias discusiones sobre los Derechos Humanos y sobre los potenciales efectos de las operaciones mineras sobre los residentes. </w:t>
      </w:r>
    </w:p>
    <w:p>
      <w:pPr>
        <w:pStyle w:val="style22"/>
        <w:numPr>
          <w:ilvl w:val="0"/>
          <w:numId w:val="3"/>
        </w:numPr>
        <w:jc w:val="both"/>
        <w:rPr>
          <w:rFonts w:ascii="Arial" w:cs="Arial" w:hAnsi="Arial"/>
          <w:sz w:val="24"/>
          <w:szCs w:val="24"/>
        </w:rPr>
      </w:pPr>
      <w:r>
        <w:rPr>
          <w:rFonts w:ascii="Arial" w:cs="Arial" w:hAnsi="Arial"/>
          <w:b/>
          <w:sz w:val="24"/>
          <w:szCs w:val="24"/>
        </w:rPr>
        <w:t xml:space="preserve">Sólida alianza con los oficiales locales. </w:t>
      </w:r>
      <w:r>
        <w:rPr>
          <w:rFonts w:ascii="Arial" w:cs="Arial" w:hAnsi="Arial"/>
          <w:sz w:val="24"/>
          <w:szCs w:val="24"/>
        </w:rPr>
        <w:t xml:space="preserve">Cultivar buenas relaciones con algunas personas del gobierno local es importante ya que como lo demuestra el caso filipino, los “aliados” en ese gobierno fueron útiles porque pudieron obtener información relativa a los </w:t>
      </w:r>
      <w:r>
        <w:rPr>
          <w:rFonts w:ascii="Arial" w:cs="Arial" w:hAnsi="Arial"/>
          <w:sz w:val="24"/>
          <w:szCs w:val="24"/>
          <w:shd w:fill="FFFF00" w:val="clear"/>
        </w:rPr>
        <w:t>planos</w:t>
      </w:r>
      <w:r>
        <w:rPr>
          <w:rFonts w:ascii="Arial" w:cs="Arial" w:hAnsi="Arial"/>
          <w:sz w:val="24"/>
          <w:szCs w:val="24"/>
        </w:rPr>
        <w:t xml:space="preserve"> del proyecto minero a corto y largo plazo. Estos planos están normalmente a disposición del público, pero son muy difíciles de conseguir, ya sea a causa de todas las instancias burocráticas, o simplemente porque la empresa </w:t>
      </w:r>
      <w:r>
        <w:rPr>
          <w:rFonts w:ascii="Arial" w:cs="Arial" w:hAnsi="Arial"/>
          <w:sz w:val="24"/>
          <w:szCs w:val="24"/>
          <w:shd w:fill="FFFF00" w:val="clear"/>
        </w:rPr>
        <w:t>mete presión</w:t>
      </w:r>
      <w:r>
        <w:rPr>
          <w:rFonts w:ascii="Arial" w:cs="Arial" w:hAnsi="Arial"/>
          <w:sz w:val="24"/>
          <w:szCs w:val="24"/>
        </w:rPr>
        <w:t xml:space="preserve"> para no hacerlos públicos. </w:t>
      </w:r>
    </w:p>
    <w:p>
      <w:pPr>
        <w:pStyle w:val="style22"/>
        <w:numPr>
          <w:ilvl w:val="0"/>
          <w:numId w:val="3"/>
        </w:numPr>
        <w:jc w:val="both"/>
        <w:rPr>
          <w:rFonts w:ascii="Arial" w:cs="Arial" w:hAnsi="Arial"/>
          <w:sz w:val="24"/>
          <w:szCs w:val="24"/>
        </w:rPr>
      </w:pPr>
      <w:r>
        <w:rPr>
          <w:rFonts w:ascii="Arial" w:cs="Arial" w:hAnsi="Arial"/>
          <w:b/>
          <w:sz w:val="24"/>
          <w:szCs w:val="24"/>
        </w:rPr>
        <w:t xml:space="preserve">Refuerzo de las capacidades de los defensores y activistas de los Derechos Humanos de las comunidades afectadas/ Vigilancia y colecta de información sobre la violación de los Derechos Humanos. </w:t>
      </w:r>
      <w:r>
        <w:rPr>
          <w:rFonts w:ascii="Arial" w:cs="Arial" w:hAnsi="Arial"/>
          <w:i/>
          <w:sz w:val="24"/>
          <w:szCs w:val="24"/>
        </w:rPr>
        <w:t xml:space="preserve">PhilRights </w:t>
      </w:r>
      <w:r>
        <w:rPr>
          <w:rFonts w:ascii="Arial" w:cs="Arial" w:hAnsi="Arial"/>
          <w:sz w:val="24"/>
          <w:szCs w:val="24"/>
        </w:rPr>
        <w:t xml:space="preserve">formó de este modo comunidades para recolectar pruebas que sirvan de soporte a las denuncias de violación de derechos y les dejó instrumentos como cámaras de fotos y de video. </w:t>
      </w:r>
      <w:r>
        <w:rPr>
          <w:rFonts w:ascii="Arial" w:cs="Arial" w:hAnsi="Arial"/>
          <w:i/>
          <w:sz w:val="24"/>
          <w:szCs w:val="24"/>
        </w:rPr>
        <w:t xml:space="preserve">PhilRights </w:t>
      </w:r>
      <w:r>
        <w:rPr>
          <w:rFonts w:ascii="Arial" w:cs="Arial" w:hAnsi="Arial"/>
          <w:sz w:val="24"/>
          <w:szCs w:val="24"/>
        </w:rPr>
        <w:t xml:space="preserve">hizo llegar a la Comisión </w:t>
      </w:r>
      <w:r>
        <w:rPr>
          <w:rFonts w:ascii="Arial" w:cs="Arial" w:hAnsi="Arial"/>
          <w:sz w:val="24"/>
          <w:szCs w:val="24"/>
          <w:shd w:fill="FFFF00" w:val="clear"/>
        </w:rPr>
        <w:t>nacional</w:t>
      </w:r>
      <w:r>
        <w:rPr>
          <w:rFonts w:ascii="Arial" w:cs="Arial" w:hAnsi="Arial"/>
          <w:sz w:val="24"/>
          <w:szCs w:val="24"/>
        </w:rPr>
        <w:t xml:space="preserve"> de Derechos Humanos la película tomada por los habitantes durante la destrucción de las casas y barricadas. Negociaciones y acuerdo con agencias del gobierno y otras entidades independientes: Comisión Nacional para los Pueblos A</w:t>
      </w:r>
      <w:bookmarkStart w:id="0" w:name="_GoBack"/>
      <w:bookmarkEnd w:id="0"/>
      <w:r>
        <w:rPr>
          <w:rFonts w:ascii="Arial" w:cs="Arial" w:hAnsi="Arial"/>
          <w:sz w:val="24"/>
          <w:szCs w:val="24"/>
        </w:rPr>
        <w:t xml:space="preserve">utóctonos; Congreso; Comisión de Derechos Humanos. </w:t>
      </w:r>
    </w:p>
    <w:p>
      <w:pPr>
        <w:pStyle w:val="style22"/>
        <w:numPr>
          <w:ilvl w:val="0"/>
          <w:numId w:val="3"/>
        </w:numPr>
        <w:jc w:val="both"/>
        <w:rPr>
          <w:rFonts w:ascii="Arial" w:cs="Arial" w:hAnsi="Arial"/>
          <w:sz w:val="24"/>
          <w:szCs w:val="24"/>
        </w:rPr>
      </w:pPr>
      <w:r>
        <w:rPr>
          <w:rFonts w:ascii="Arial" w:cs="Arial" w:hAnsi="Arial"/>
          <w:b/>
          <w:sz w:val="24"/>
          <w:szCs w:val="24"/>
        </w:rPr>
        <w:t xml:space="preserve">Campaña/ Lobby. </w:t>
      </w:r>
      <w:r>
        <w:rPr>
          <w:rFonts w:ascii="Arial" w:cs="Arial" w:hAnsi="Arial"/>
          <w:sz w:val="24"/>
          <w:szCs w:val="24"/>
        </w:rPr>
        <w:t xml:space="preserve">Existe una red filipina anti-proyecto minero llamado </w:t>
      </w:r>
      <w:r>
        <w:rPr>
          <w:rFonts w:ascii="Arial" w:cs="Arial" w:hAnsi="Arial"/>
          <w:i/>
          <w:sz w:val="24"/>
          <w:szCs w:val="24"/>
        </w:rPr>
        <w:t xml:space="preserve">“Mining Advocacy Philippines-Australia”. </w:t>
      </w:r>
      <w:r>
        <w:rPr>
          <w:rFonts w:ascii="Arial" w:cs="Arial" w:hAnsi="Arial"/>
          <w:sz w:val="24"/>
          <w:szCs w:val="24"/>
        </w:rPr>
        <w:t xml:space="preserve">Algunos de sus miembros compraron partes ínfimas de la empresa australiana con el único objetivo de volverse accionistas minoritarios de la compañía minera y así poder estar presentes en las asambleas generales. Ellos están encargados de organizar acciones de lobbying como la que consiste en invitar a un representante de una comunidad autóctona durante la asamblea general de la compañía para que pueda exponer la violación de derechos perpetrada por la empresa. Esto es posible sólo si el accionista concede su palabra al invitado y esto es anunciado al comienzo de la asamblea. Los accionistas-militantes anti mina exponen igualmente, las violaciones cometidas por la empresa y las fotos que demuestran la negligencia de la sociedad madre en Filipinas, delante del público general y también de potenciales inversores del proyecto durante foros públicos. Conexión de redes con otros grupos que también se ven afectadas por ese tema. </w:t>
      </w:r>
    </w:p>
    <w:p>
      <w:pPr>
        <w:pStyle w:val="style22"/>
        <w:numPr>
          <w:ilvl w:val="0"/>
          <w:numId w:val="3"/>
        </w:numPr>
        <w:jc w:val="both"/>
        <w:rPr>
          <w:rFonts w:ascii="Arial" w:cs="Arial" w:hAnsi="Arial"/>
          <w:sz w:val="24"/>
          <w:szCs w:val="24"/>
        </w:rPr>
      </w:pPr>
      <w:r>
        <w:rPr>
          <w:rFonts w:ascii="Arial" w:cs="Arial" w:hAnsi="Arial"/>
          <w:b/>
          <w:sz w:val="24"/>
          <w:szCs w:val="24"/>
        </w:rPr>
        <w:t xml:space="preserve">Fuerte apoyo de las </w:t>
      </w:r>
      <w:r>
        <w:rPr>
          <w:rFonts w:ascii="Arial" w:cs="Arial" w:hAnsi="Arial"/>
          <w:b/>
          <w:sz w:val="24"/>
          <w:szCs w:val="24"/>
          <w:shd w:fill="FFFF00" w:val="clear"/>
        </w:rPr>
        <w:t>ONG</w:t>
      </w:r>
      <w:r>
        <w:rPr>
          <w:rFonts w:ascii="Arial" w:cs="Arial" w:hAnsi="Arial"/>
          <w:b/>
          <w:sz w:val="24"/>
          <w:szCs w:val="24"/>
        </w:rPr>
        <w:t xml:space="preserve">, de los dirigentes locales y de la Iglesia. </w:t>
      </w:r>
      <w:r>
        <w:rPr>
          <w:rFonts w:ascii="Arial" w:cs="Arial" w:hAnsi="Arial"/>
          <w:sz w:val="24"/>
          <w:szCs w:val="24"/>
        </w:rPr>
        <w:t xml:space="preserve">La Iglesia, como institución respetada en este país con predominio católico, puede ser muy eficaz. Cuando hay un conflicto, por ejemplo en nuestro caso entre los residentes anti-proyecto minero y la empresa minera en el distrito de Pao, la Iglesia puede intervenir y presionar a las  autoridades gubernamentales como el Ministerio de Medioambiente y Recursos Naturales. En varias ocasiones, la violencia fue evitada gracias a la intervención de la Iglesia. </w:t>
      </w:r>
    </w:p>
    <w:p>
      <w:pPr>
        <w:pStyle w:val="style0"/>
        <w:jc w:val="both"/>
        <w:rPr>
          <w:rFonts w:ascii="Arial" w:cs="Arial" w:hAnsi="Arial"/>
          <w:b/>
          <w:sz w:val="24"/>
          <w:szCs w:val="24"/>
        </w:rPr>
      </w:pPr>
      <w:r>
        <w:rPr>
          <w:rFonts w:ascii="Arial" w:cs="Arial" w:hAnsi="Arial"/>
          <w:b/>
          <w:sz w:val="24"/>
          <w:szCs w:val="24"/>
        </w:rPr>
        <w:t xml:space="preserve">CONCLUSIÓN </w:t>
      </w:r>
    </w:p>
    <w:p>
      <w:pPr>
        <w:pStyle w:val="style0"/>
        <w:ind w:firstLine="708" w:left="0" w:right="0"/>
        <w:jc w:val="both"/>
        <w:rPr>
          <w:rFonts w:ascii="Arial" w:cs="Arial" w:hAnsi="Arial"/>
          <w:sz w:val="24"/>
          <w:szCs w:val="24"/>
        </w:rPr>
      </w:pPr>
      <w:r>
        <w:rPr>
          <w:rFonts w:ascii="Arial" w:cs="Arial" w:hAnsi="Arial"/>
          <w:sz w:val="24"/>
          <w:szCs w:val="24"/>
        </w:rPr>
        <w:t xml:space="preserve">Actualmente, la comunidad todavía espera la difusión de las recomendaciones de la Comisión Nacional de los Derechos Humanos para sustentar su alegato. El pueblo sigue en peligro ya que el gobierno continúa promoviendo la explotación minera a gran escala y las compañías prosiguen con sus respectivos proyectos. Las autoridades están alertadas, la movilización continúa. </w:t>
      </w:r>
    </w:p>
    <w:p>
      <w:pPr>
        <w:pStyle w:val="style0"/>
        <w:ind w:firstLine="708" w:left="0" w:right="0"/>
        <w:jc w:val="both"/>
        <w:rPr>
          <w:rFonts w:ascii="Arial" w:cs="Arial" w:hAnsi="Arial"/>
          <w:sz w:val="24"/>
          <w:szCs w:val="24"/>
        </w:rPr>
      </w:pPr>
      <w:r>
        <w:rPr>
          <w:rFonts w:ascii="Arial" w:cs="Arial" w:hAnsi="Arial"/>
          <w:sz w:val="24"/>
          <w:szCs w:val="24"/>
        </w:rPr>
        <w:t xml:space="preserve">La solución para la lucha por los Derechos Humanos y contra su violación se halla en: </w:t>
      </w:r>
    </w:p>
    <w:p>
      <w:pPr>
        <w:pStyle w:val="style22"/>
        <w:numPr>
          <w:ilvl w:val="0"/>
          <w:numId w:val="1"/>
        </w:numPr>
        <w:jc w:val="both"/>
        <w:rPr>
          <w:rFonts w:ascii="Arial" w:cs="Arial" w:hAnsi="Arial"/>
          <w:sz w:val="24"/>
          <w:szCs w:val="24"/>
        </w:rPr>
      </w:pPr>
      <w:r>
        <w:rPr>
          <w:rFonts w:ascii="Arial" w:cs="Arial" w:hAnsi="Arial"/>
          <w:sz w:val="24"/>
          <w:szCs w:val="24"/>
        </w:rPr>
        <w:t xml:space="preserve">La determinación y la unidad a combatir bajo el lema de organizaciones solidarias y grupos de apoyo. </w:t>
      </w:r>
    </w:p>
    <w:p>
      <w:pPr>
        <w:pStyle w:val="style22"/>
        <w:numPr>
          <w:ilvl w:val="0"/>
          <w:numId w:val="1"/>
        </w:numPr>
        <w:jc w:val="both"/>
        <w:rPr>
          <w:rFonts w:ascii="Arial" w:cs="Arial" w:hAnsi="Arial"/>
          <w:sz w:val="24"/>
          <w:szCs w:val="24"/>
        </w:rPr>
      </w:pPr>
      <w:r>
        <w:rPr>
          <w:rFonts w:ascii="Arial" w:cs="Arial" w:hAnsi="Arial"/>
          <w:sz w:val="24"/>
          <w:szCs w:val="24"/>
        </w:rPr>
        <w:t xml:space="preserve">Una buena combinación de aproximaciones legales y para-legales. </w:t>
      </w:r>
    </w:p>
    <w:p>
      <w:pPr>
        <w:pStyle w:val="style22"/>
        <w:jc w:val="both"/>
        <w:rPr/>
      </w:pPr>
      <w:r>
        <w:rPr/>
      </w:r>
    </w:p>
    <w:p>
      <w:pPr>
        <w:pStyle w:val="style22"/>
        <w:jc w:val="both"/>
        <w:rPr/>
      </w:pPr>
      <w:r>
        <w:rPr/>
      </w:r>
    </w:p>
    <w:p>
      <w:pPr>
        <w:pStyle w:val="style22"/>
        <w:spacing w:after="160" w:before="0"/>
        <w:contextualSpacing/>
        <w:jc w:val="both"/>
        <w:rPr>
          <w:rFonts w:ascii="Arial" w:cs="Arial" w:hAnsi="Arial"/>
          <w:sz w:val="24"/>
          <w:szCs w:val="24"/>
        </w:rPr>
      </w:pPr>
      <w:r>
        <w:rPr>
          <w:rFonts w:ascii="Arial" w:cs="Arial" w:hAnsi="Arial"/>
          <w:sz w:val="24"/>
          <w:szCs w:val="24"/>
        </w:rPr>
        <w:t>Traduction lue. BC, 19/05/2014</w:t>
      </w:r>
    </w:p>
    <w:sectPr>
      <w:type w:val="nextPage"/>
      <w:pgSz w:h="15840" w:w="12240"/>
      <w:pgMar w:bottom="1417" w:footer="0" w:gutter="0" w:header="0" w:left="1701" w:right="1701" w:top="1417"/>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 w:name="Arial">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ind w:hanging="360" w:left="1428"/>
      </w:pPr>
      <w:rPr>
        <w:rFonts w:ascii="Symbol" w:cs="Symbol" w:hAnsi="Symbol" w:hint="default"/>
      </w:rPr>
    </w:lvl>
    <w:lvl w:ilvl="1">
      <w:start w:val="1"/>
      <w:numFmt w:val="bullet"/>
      <w:lvlText w:val="o"/>
      <w:lvlJc w:val="left"/>
      <w:pPr>
        <w:ind w:hanging="360" w:left="2148"/>
      </w:pPr>
      <w:rPr>
        <w:rFonts w:ascii="Courier New" w:cs="Courier New" w:hAnsi="Courier New" w:hint="default"/>
      </w:rPr>
    </w:lvl>
    <w:lvl w:ilvl="2">
      <w:start w:val="1"/>
      <w:numFmt w:val="bullet"/>
      <w:lvlText w:val=""/>
      <w:lvlJc w:val="left"/>
      <w:pPr>
        <w:ind w:hanging="360" w:left="2868"/>
      </w:pPr>
      <w:rPr>
        <w:rFonts w:ascii="Wingdings" w:cs="Wingdings" w:hAnsi="Wingdings" w:hint="default"/>
      </w:rPr>
    </w:lvl>
    <w:lvl w:ilvl="3">
      <w:start w:val="1"/>
      <w:numFmt w:val="bullet"/>
      <w:lvlText w:val=""/>
      <w:lvlJc w:val="left"/>
      <w:pPr>
        <w:ind w:hanging="360" w:left="3588"/>
      </w:pPr>
      <w:rPr>
        <w:rFonts w:ascii="Symbol" w:cs="Symbol" w:hAnsi="Symbol" w:hint="default"/>
      </w:rPr>
    </w:lvl>
    <w:lvl w:ilvl="4">
      <w:start w:val="1"/>
      <w:numFmt w:val="bullet"/>
      <w:lvlText w:val="o"/>
      <w:lvlJc w:val="left"/>
      <w:pPr>
        <w:ind w:hanging="360" w:left="4308"/>
      </w:pPr>
      <w:rPr>
        <w:rFonts w:ascii="Courier New" w:cs="Courier New" w:hAnsi="Courier New" w:hint="default"/>
      </w:rPr>
    </w:lvl>
    <w:lvl w:ilvl="5">
      <w:start w:val="1"/>
      <w:numFmt w:val="bullet"/>
      <w:lvlText w:val=""/>
      <w:lvlJc w:val="left"/>
      <w:pPr>
        <w:ind w:hanging="360" w:left="5028"/>
      </w:pPr>
      <w:rPr>
        <w:rFonts w:ascii="Wingdings" w:cs="Wingdings" w:hAnsi="Wingdings" w:hint="default"/>
      </w:rPr>
    </w:lvl>
    <w:lvl w:ilvl="6">
      <w:start w:val="1"/>
      <w:numFmt w:val="bullet"/>
      <w:lvlText w:val=""/>
      <w:lvlJc w:val="left"/>
      <w:pPr>
        <w:ind w:hanging="360" w:left="5748"/>
      </w:pPr>
      <w:rPr>
        <w:rFonts w:ascii="Symbol" w:cs="Symbol" w:hAnsi="Symbol" w:hint="default"/>
      </w:rPr>
    </w:lvl>
    <w:lvl w:ilvl="7">
      <w:start w:val="1"/>
      <w:numFmt w:val="bullet"/>
      <w:lvlText w:val="o"/>
      <w:lvlJc w:val="left"/>
      <w:pPr>
        <w:ind w:hanging="360" w:left="6468"/>
      </w:pPr>
      <w:rPr>
        <w:rFonts w:ascii="Courier New" w:cs="Courier New" w:hAnsi="Courier New" w:hint="default"/>
      </w:rPr>
    </w:lvl>
    <w:lvl w:ilvl="8">
      <w:start w:val="1"/>
      <w:numFmt w:val="bullet"/>
      <w:lvlText w:val=""/>
      <w:lvlJc w:val="left"/>
      <w:pPr>
        <w:ind w:hanging="360" w:left="7188"/>
      </w:pPr>
      <w:rPr>
        <w:rFonts w:ascii="Wingdings" w:cs="Wingdings" w:hAnsi="Wingdings" w:hint="default"/>
      </w:rPr>
    </w:lvl>
  </w:abstractNum>
  <w:abstractNum w:abstractNumId="2">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160" w:before="0" w:line="256" w:lineRule="auto"/>
      <w:contextualSpacing w:val="false"/>
    </w:pPr>
    <w:rPr>
      <w:rFonts w:ascii="Calibri" w:cs="" w:eastAsia="DejaVu Sans" w:hAnsi="Calibri"/>
      <w:color w:val="auto"/>
      <w:sz w:val="22"/>
      <w:szCs w:val="22"/>
      <w:lang w:bidi="ar-SA" w:eastAsia="en-US" w:val="es-AR"/>
    </w:rPr>
  </w:style>
  <w:style w:styleId="style15" w:type="character">
    <w:name w:val="Default Paragraph Font"/>
    <w:next w:val="style15"/>
    <w:rPr/>
  </w:style>
  <w:style w:styleId="style16" w:type="character">
    <w:name w:val="ListLabel 1"/>
    <w:next w:val="style16"/>
    <w:rPr>
      <w:rFonts w:cs="Courier New"/>
    </w:rPr>
  </w:style>
  <w:style w:styleId="style17" w:type="paragraph">
    <w:name w:val="Heading"/>
    <w:basedOn w:val="style0"/>
    <w:next w:val="style18"/>
    <w:pPr>
      <w:keepNext/>
      <w:spacing w:after="120" w:before="240"/>
      <w:contextualSpacing w:val="false"/>
    </w:pPr>
    <w:rPr>
      <w:rFonts w:ascii="Arial" w:cs="Lohit Hindi" w:eastAsia="DejaVu Sans"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contextualSpacing w:val="false"/>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List Paragraph"/>
    <w:basedOn w:val="style0"/>
    <w:next w:val="style22"/>
    <w:pPr>
      <w:spacing w:after="16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2014-05-05T10:29:00Z</dcterms:created>
  <dc:creator>Rocio</dc:creator>
  <cp:lastModifiedBy>Rocio</cp:lastModifiedBy>
  <dcterms:modified xsi:type="dcterms:W3CDTF">2014-05-19T14:07:00Z</dcterms:modified>
  <cp:revision>9</cp:revision>
</cp:coreProperties>
</file>