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rFonts w:ascii="Cambria" w:hAnsi="Cambria"/>
          <w:lang w:val="fr-FR"/>
        </w:rPr>
      </w:pPr>
      <w:r>
        <w:rPr>
          <w:rFonts w:ascii="Cambria" w:hAnsi="Cambria"/>
          <w:lang w:val="fr-FR"/>
        </w:rPr>
        <w:t>Questionnaire:</w:t>
      </w:r>
    </w:p>
    <w:p>
      <w:pPr>
        <w:pStyle w:val="style0"/>
        <w:jc w:val="both"/>
        <w:rPr>
          <w:rFonts w:ascii="Cambria" w:hAnsi="Cambria"/>
          <w:lang w:val="es-AR"/>
        </w:rPr>
      </w:pPr>
      <w:r>
        <w:rPr>
          <w:rFonts w:ascii="Cambria" w:hAnsi="Cambria"/>
          <w:lang w:val="es-AR"/>
        </w:rPr>
      </w:r>
    </w:p>
    <w:p>
      <w:pPr>
        <w:pStyle w:val="style0"/>
        <w:numPr>
          <w:ilvl w:val="0"/>
          <w:numId w:val="1"/>
        </w:numPr>
        <w:spacing w:after="0" w:before="120"/>
        <w:contextualSpacing w:val="false"/>
        <w:jc w:val="both"/>
        <w:rPr>
          <w:rFonts w:ascii="Cambria" w:hAnsi="Cambria"/>
          <w:lang w:val="fr-FR"/>
        </w:rPr>
      </w:pPr>
      <w:r>
        <w:rPr>
          <w:rFonts w:ascii="Cambria" w:hAnsi="Cambria"/>
          <w:lang w:val="fr-FR"/>
        </w:rPr>
        <w:t>L’auteur parle du rôle que les philosophes accordent traditionnellement aux “affirmations”. Donnez-en des exemples.</w:t>
      </w:r>
    </w:p>
    <w:p>
      <w:pPr>
        <w:pStyle w:val="style0"/>
        <w:numPr>
          <w:ilvl w:val="0"/>
          <w:numId w:val="1"/>
        </w:numPr>
        <w:spacing w:after="0" w:before="120"/>
        <w:contextualSpacing w:val="false"/>
        <w:jc w:val="both"/>
        <w:rPr>
          <w:rFonts w:ascii="Cambria" w:hAnsi="Cambria"/>
          <w:lang w:val="fr-FR"/>
        </w:rPr>
      </w:pPr>
      <w:r>
        <w:rPr>
          <w:rFonts w:ascii="Cambria" w:hAnsi="Cambria"/>
          <w:lang w:val="fr-FR"/>
        </w:rPr>
        <w:t>Donnez des exemples des autres types de phrases que les grammairiens distinguent.</w:t>
      </w:r>
    </w:p>
    <w:p>
      <w:pPr>
        <w:pStyle w:val="style0"/>
        <w:numPr>
          <w:ilvl w:val="0"/>
          <w:numId w:val="1"/>
        </w:numPr>
        <w:spacing w:after="0" w:before="120"/>
        <w:contextualSpacing w:val="false"/>
        <w:jc w:val="both"/>
        <w:rPr>
          <w:rFonts w:ascii="Cambria" w:hAnsi="Cambria"/>
          <w:lang w:val="fr-FR"/>
        </w:rPr>
      </w:pPr>
      <w:r>
        <w:rPr>
          <w:rFonts w:ascii="Cambria" w:hAnsi="Cambria"/>
          <w:lang w:val="fr-FR"/>
        </w:rPr>
        <w:t>Pourquoi disait-on que beaucoup d’affirmations étaient des non-sens ? Expliquez pourquoi des phrases telles que « Il rit jaune. » seraient des non-sens.</w:t>
      </w:r>
    </w:p>
    <w:p>
      <w:pPr>
        <w:pStyle w:val="style0"/>
        <w:numPr>
          <w:ilvl w:val="0"/>
          <w:numId w:val="1"/>
        </w:numPr>
        <w:spacing w:after="0" w:before="120"/>
        <w:contextualSpacing w:val="false"/>
        <w:jc w:val="both"/>
        <w:rPr>
          <w:rFonts w:ascii="Cambria" w:hAnsi="Cambria"/>
          <w:lang w:val="fr-FR"/>
        </w:rPr>
      </w:pPr>
      <w:r>
        <w:rPr>
          <w:rFonts w:ascii="Cambria" w:hAnsi="Cambria"/>
          <w:lang w:val="fr-FR"/>
        </w:rPr>
        <w:t>Expliquez quelle action réalise-t-on en prononçant chacune des phrases suivantes :</w:t>
      </w:r>
    </w:p>
    <w:p>
      <w:pPr>
        <w:pStyle w:val="style0"/>
        <w:numPr>
          <w:ilvl w:val="1"/>
          <w:numId w:val="1"/>
        </w:numPr>
        <w:spacing w:after="0" w:before="120"/>
        <w:contextualSpacing w:val="false"/>
        <w:jc w:val="both"/>
        <w:rPr>
          <w:rFonts w:ascii="Cambria" w:hAnsi="Cambria"/>
          <w:lang w:val="fr-FR"/>
        </w:rPr>
      </w:pPr>
      <w:r>
        <w:rPr>
          <w:rFonts w:ascii="Cambria" w:hAnsi="Cambria"/>
          <w:lang w:val="fr-FR"/>
        </w:rPr>
        <w:t>Je vous parie un kilo de glace que Gimnasia sera champion.</w:t>
      </w:r>
    </w:p>
    <w:p>
      <w:pPr>
        <w:pStyle w:val="style0"/>
        <w:numPr>
          <w:ilvl w:val="1"/>
          <w:numId w:val="1"/>
        </w:numPr>
        <w:spacing w:after="0" w:before="120"/>
        <w:contextualSpacing w:val="false"/>
        <w:jc w:val="both"/>
        <w:rPr>
          <w:rFonts w:ascii="Cambria" w:hAnsi="Cambria"/>
          <w:lang w:val="fr-FR"/>
        </w:rPr>
      </w:pPr>
      <w:r>
        <w:rPr>
          <w:rFonts w:ascii="Cambria" w:hAnsi="Cambria"/>
          <w:lang w:val="fr-FR"/>
        </w:rPr>
        <w:t>Je m’excuse de te déranger.</w:t>
      </w:r>
    </w:p>
    <w:p>
      <w:pPr>
        <w:pStyle w:val="style0"/>
        <w:numPr>
          <w:ilvl w:val="1"/>
          <w:numId w:val="1"/>
        </w:numPr>
        <w:spacing w:after="0" w:before="120"/>
        <w:contextualSpacing w:val="false"/>
        <w:jc w:val="both"/>
        <w:rPr>
          <w:rFonts w:ascii="Cambria" w:hAnsi="Cambria"/>
          <w:lang w:val="fr-FR"/>
        </w:rPr>
      </w:pPr>
      <w:r>
        <w:rPr>
          <w:rFonts w:ascii="Cambria" w:hAnsi="Cambria"/>
          <w:lang w:val="fr-FR"/>
        </w:rPr>
        <w:t>J’accuse M. X d’avoir détourné de l’argent public…</w:t>
      </w:r>
    </w:p>
    <w:p>
      <w:pPr>
        <w:pStyle w:val="style0"/>
        <w:numPr>
          <w:ilvl w:val="1"/>
          <w:numId w:val="1"/>
        </w:numPr>
        <w:spacing w:after="0" w:before="120"/>
        <w:contextualSpacing w:val="false"/>
        <w:jc w:val="both"/>
        <w:rPr>
          <w:rFonts w:ascii="Cambria" w:hAnsi="Cambria"/>
          <w:lang w:val="fr-FR"/>
        </w:rPr>
      </w:pPr>
      <w:r>
        <w:rPr>
          <w:rFonts w:ascii="Cambria" w:hAnsi="Cambria"/>
          <w:lang w:val="fr-FR"/>
        </w:rPr>
        <w:t>Je vous remercie de votre attention.</w:t>
      </w:r>
    </w:p>
    <w:p>
      <w:pPr>
        <w:pStyle w:val="style0"/>
        <w:numPr>
          <w:ilvl w:val="1"/>
          <w:numId w:val="1"/>
        </w:numPr>
        <w:spacing w:after="0" w:before="120"/>
        <w:contextualSpacing w:val="false"/>
        <w:jc w:val="both"/>
        <w:rPr>
          <w:rFonts w:ascii="Cambria" w:hAnsi="Cambria"/>
          <w:lang w:val="fr-FR"/>
        </w:rPr>
      </w:pPr>
      <w:r>
        <w:rPr>
          <w:rFonts w:ascii="Cambria" w:hAnsi="Cambria"/>
          <w:lang w:val="fr-FR"/>
        </w:rPr>
        <w:t>Ce tribunal vous déclare innocent.</w:t>
      </w:r>
    </w:p>
    <w:p>
      <w:pPr>
        <w:pStyle w:val="style0"/>
        <w:spacing w:after="0" w:before="120"/>
        <w:contextualSpacing w:val="false"/>
        <w:jc w:val="both"/>
        <w:rPr>
          <w:rFonts w:ascii="Cambria" w:hAnsi="Cambria"/>
          <w:lang w:val="fr-FR"/>
        </w:rPr>
      </w:pPr>
      <w:r>
        <w:rPr>
          <w:rFonts w:ascii="Cambria" w:hAnsi="Cambria"/>
          <w:lang w:val="fr-FR"/>
        </w:rPr>
      </w:r>
    </w:p>
    <w:p>
      <w:pPr>
        <w:pStyle w:val="style0"/>
        <w:numPr>
          <w:ilvl w:val="0"/>
          <w:numId w:val="2"/>
        </w:numPr>
        <w:spacing w:after="0" w:before="120"/>
        <w:contextualSpacing w:val="false"/>
        <w:jc w:val="both"/>
        <w:rPr>
          <w:rFonts w:ascii="Cambria" w:hAnsi="Cambria"/>
          <w:lang w:val="fr-FR"/>
        </w:rPr>
      </w:pPr>
      <w:r>
        <w:rPr>
          <w:rFonts w:ascii="Cambria" w:hAnsi="Cambria"/>
          <w:lang w:val="fr-FR"/>
        </w:rPr>
        <w:t>Comment Austin justifie-t-il l’emploi du terme ‘performatif’ ?</w:t>
      </w:r>
    </w:p>
    <w:p>
      <w:pPr>
        <w:pStyle w:val="style0"/>
        <w:numPr>
          <w:ilvl w:val="0"/>
          <w:numId w:val="2"/>
        </w:numPr>
        <w:spacing w:after="0" w:before="120"/>
        <w:contextualSpacing w:val="false"/>
        <w:jc w:val="both"/>
        <w:rPr>
          <w:rFonts w:ascii="Cambria" w:hAnsi="Cambria"/>
          <w:lang w:val="fr-FR"/>
        </w:rPr>
      </w:pPr>
      <w:r>
        <w:rPr>
          <w:rFonts w:ascii="Cambria" w:hAnsi="Cambria"/>
          <w:lang w:val="fr-FR"/>
        </w:rPr>
        <w:t>Quelles sont les conditions de félicité des phrases (a) et (e) ?</w:t>
      </w:r>
    </w:p>
    <w:p>
      <w:pPr>
        <w:pStyle w:val="style0"/>
        <w:numPr>
          <w:ilvl w:val="0"/>
          <w:numId w:val="2"/>
        </w:numPr>
        <w:spacing w:after="0" w:before="120"/>
        <w:contextualSpacing w:val="false"/>
        <w:jc w:val="both"/>
        <w:rPr>
          <w:rFonts w:ascii="Cambria" w:hAnsi="Cambria"/>
          <w:lang w:val="fr-FR"/>
        </w:rPr>
      </w:pPr>
      <w:r>
        <w:rPr>
          <w:rFonts w:ascii="Cambria" w:hAnsi="Cambria"/>
          <w:lang w:val="fr-FR"/>
        </w:rPr>
        <w:t>Si une énonciation ne satisfait pas des conditions de félicité, on en déduit qu’elle est fausse ? Pourquoi ?</w:t>
      </w:r>
    </w:p>
    <w:p>
      <w:pPr>
        <w:pStyle w:val="style0"/>
        <w:jc w:val="both"/>
        <w:rPr>
          <w:rFonts w:ascii="Cambria" w:hAnsi="Cambria"/>
          <w:lang w:val="es-AR"/>
        </w:rPr>
      </w:pPr>
      <w:r>
        <w:rPr>
          <w:rFonts w:ascii="Cambria" w:hAnsi="Cambria"/>
          <w:lang w:val="es-AR"/>
        </w:rPr>
      </w:r>
    </w:p>
    <w:p>
      <w:pPr>
        <w:pStyle w:val="style0"/>
        <w:jc w:val="both"/>
        <w:rPr>
          <w:rFonts w:ascii="Cambria" w:hAnsi="Cambria"/>
          <w:b/>
          <w:lang w:val="es-AR"/>
        </w:rPr>
      </w:pPr>
      <w:r>
        <w:rPr>
          <w:rFonts w:ascii="Cambria" w:hAnsi="Cambria"/>
          <w:b/>
          <w:lang w:val="es-AR"/>
        </w:rPr>
        <w:t>Responses</w:t>
      </w:r>
    </w:p>
    <w:p>
      <w:pPr>
        <w:pStyle w:val="style0"/>
        <w:jc w:val="both"/>
        <w:rPr>
          <w:rFonts w:ascii="Cambria" w:hAnsi="Cambria"/>
          <w:b/>
          <w:lang w:val="es-AR"/>
        </w:rPr>
      </w:pPr>
      <w:r>
        <w:rPr>
          <w:rFonts w:ascii="Cambria" w:hAnsi="Cambria"/>
          <w:b/>
          <w:lang w:val="es-AR"/>
        </w:rPr>
      </w:r>
    </w:p>
    <w:p>
      <w:pPr>
        <w:pStyle w:val="style0"/>
        <w:numPr>
          <w:ilvl w:val="0"/>
          <w:numId w:val="3"/>
        </w:numPr>
        <w:spacing w:after="0" w:before="120"/>
        <w:contextualSpacing w:val="false"/>
        <w:jc w:val="both"/>
        <w:rPr>
          <w:rFonts w:ascii="Cambria" w:hAnsi="Cambria"/>
          <w:lang w:val="fr-FR"/>
        </w:rPr>
      </w:pPr>
      <w:r>
        <w:rPr>
          <w:rFonts w:ascii="Cambria" w:hAnsi="Cambria"/>
          <w:lang w:val="fr-FR"/>
        </w:rPr>
        <w:t>L’auteur parle du rôle que les philosophes accordent traditionnellement aux “affirmations”. Donnez-en des exemples.</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Austin mentionne </w:t>
      </w:r>
      <w:r>
        <w:rPr>
          <w:rFonts w:ascii="Calibri" w:hAnsi="Calibri"/>
          <w:shd w:fill="EEEEEE" w:val="clear"/>
          <w:lang w:val="fr-FR"/>
        </w:rPr>
        <w:t xml:space="preserve">que les philosophes dans la tradition devant une  «affirmation» seulement ont pu émettre un jugement de </w:t>
      </w:r>
      <w:r>
        <w:rPr>
          <w:rFonts w:ascii="Calibri" w:hAnsi="Calibri"/>
          <w:u w:val="thick"/>
          <w:shd w:fill="EEEEEE" w:val="clear"/>
          <w:lang w:val="fr-FR"/>
        </w:rPr>
        <w:t>valeur de vrais o fausse</w:t>
      </w:r>
      <w:r>
        <w:rPr>
          <w:rStyle w:val="style24"/>
          <w:rFonts w:ascii="Calibri" w:hAnsi="Calibri"/>
          <w:u w:val="thick"/>
          <w:shd w:fill="EEEEEE" w:val="clear"/>
          <w:lang w:val="fr-FR"/>
        </w:rPr>
        <w:footnoteReference w:id="2"/>
      </w:r>
      <w:r>
        <w:rPr>
          <w:rFonts w:ascii="Calibri" w:hAnsi="Calibri"/>
          <w:shd w:fill="EEEEEE" w:val="clear"/>
          <w:lang w:val="fr-FR"/>
        </w:rPr>
        <w:t>.</w:t>
      </w:r>
      <w:r>
        <w:rPr>
          <w:rStyle w:val="style24"/>
          <w:rFonts w:ascii="Calibri" w:hAnsi="Calibri"/>
          <w:shd w:fill="EEEEEE" w:val="clear"/>
          <w:lang w:val="fr-FR"/>
        </w:rPr>
        <w:footnoteReference w:id="3"/>
      </w:r>
      <w:r>
        <w:rPr>
          <w:rFonts w:ascii="Calibri" w:hAnsi="Calibri"/>
          <w:lang w:val="fr-FR"/>
        </w:rPr>
        <w:t xml:space="preserve"> En conséquence chaque « affirmation »  devrait être vérifiée. </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C’est pour cela qu’Austin classé ces énoncées comme « constatives » </w:t>
      </w:r>
    </w:p>
    <w:p>
      <w:pPr>
        <w:pStyle w:val="style0"/>
        <w:spacing w:after="0" w:before="120"/>
        <w:ind w:hanging="0" w:left="720" w:right="0"/>
        <w:contextualSpacing w:val="false"/>
        <w:jc w:val="both"/>
        <w:rPr>
          <w:rFonts w:ascii="Calibri" w:hAnsi="Calibri"/>
          <w:lang w:val="fr-FR"/>
        </w:rPr>
      </w:pPr>
      <w:r>
        <w:rPr>
          <w:rFonts w:ascii="Calibri" w:hAnsi="Calibri"/>
          <w:lang w:val="fr-FR"/>
        </w:rPr>
        <w:t>Exemples :</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Les carafes sont remplies d’eau. </w:t>
      </w:r>
    </w:p>
    <w:p>
      <w:pPr>
        <w:pStyle w:val="style0"/>
        <w:spacing w:after="0" w:before="120"/>
        <w:ind w:hanging="0" w:left="720" w:right="0"/>
        <w:contextualSpacing w:val="false"/>
        <w:jc w:val="both"/>
        <w:rPr>
          <w:rFonts w:ascii="Calibri" w:hAnsi="Calibri"/>
          <w:lang w:val="fr-FR"/>
        </w:rPr>
      </w:pPr>
      <w:r>
        <w:rPr>
          <w:rFonts w:ascii="Calibri" w:hAnsi="Calibri"/>
          <w:lang w:val="fr-FR"/>
        </w:rPr>
        <w:t>Les rues sont vides.</w:t>
      </w:r>
    </w:p>
    <w:p>
      <w:pPr>
        <w:pStyle w:val="style0"/>
        <w:spacing w:after="0" w:before="120"/>
        <w:contextualSpacing w:val="false"/>
        <w:jc w:val="both"/>
        <w:rPr>
          <w:rFonts w:ascii="Calibri" w:hAnsi="Calibri"/>
          <w:lang w:val="fr-FR"/>
        </w:rPr>
      </w:pPr>
      <w:r>
        <w:rPr>
          <w:rFonts w:ascii="Calibri" w:hAnsi="Calibri"/>
          <w:lang w:val="fr-FR"/>
        </w:rPr>
        <w:t xml:space="preserve"> </w:t>
      </w:r>
      <w:r>
        <w:rPr>
          <w:rFonts w:ascii="Calibri" w:hAnsi="Calibri"/>
          <w:lang w:val="fr-FR"/>
        </w:rPr>
        <w:tab/>
        <w:t>Les films hollywoodiens sont pleins d'effets spéciaux.</w:t>
      </w:r>
    </w:p>
    <w:p>
      <w:pPr>
        <w:pStyle w:val="style0"/>
        <w:spacing w:after="0" w:before="120"/>
        <w:ind w:firstLine="708" w:left="0" w:right="0"/>
        <w:contextualSpacing w:val="false"/>
        <w:jc w:val="both"/>
        <w:rPr>
          <w:rFonts w:ascii="Calibri" w:hAnsi="Calibri"/>
          <w:lang w:val="fr-FR"/>
        </w:rPr>
      </w:pPr>
      <w:r>
        <w:rPr>
          <w:rFonts w:ascii="Calibri" w:hAnsi="Calibri"/>
          <w:lang w:val="fr-FR"/>
        </w:rPr>
        <w:t xml:space="preserve">Le ciel est chargé de nuages. </w:t>
      </w:r>
    </w:p>
    <w:p>
      <w:pPr>
        <w:pStyle w:val="style0"/>
        <w:numPr>
          <w:ilvl w:val="0"/>
          <w:numId w:val="3"/>
        </w:numPr>
        <w:spacing w:after="0" w:before="120"/>
        <w:contextualSpacing w:val="false"/>
        <w:jc w:val="both"/>
        <w:rPr>
          <w:rFonts w:ascii="Cambria" w:hAnsi="Cambria"/>
          <w:lang w:val="fr-FR"/>
        </w:rPr>
      </w:pPr>
      <w:r>
        <w:rPr>
          <w:rFonts w:ascii="Cambria" w:hAnsi="Cambria"/>
          <w:lang w:val="fr-FR"/>
        </w:rPr>
        <w:t>Donnez des exemples des autres types de phrases que les grammairiens distinguent.</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Qu’est qu’il a dit aux étudiants ? </w:t>
      </w:r>
    </w:p>
    <w:p>
      <w:pPr>
        <w:pStyle w:val="style0"/>
        <w:spacing w:after="0" w:before="120"/>
        <w:ind w:hanging="0" w:left="720" w:right="0"/>
        <w:contextualSpacing w:val="false"/>
        <w:jc w:val="both"/>
        <w:rPr>
          <w:rFonts w:ascii="Calibri" w:hAnsi="Calibri"/>
          <w:lang w:val="fr-FR"/>
        </w:rPr>
      </w:pPr>
      <w:r>
        <w:rPr>
          <w:rFonts w:ascii="Calibri" w:hAnsi="Calibri"/>
          <w:lang w:val="fr-FR"/>
        </w:rPr>
        <w:t>Bravo, c’est super ce que tu as fait!</w:t>
      </w:r>
    </w:p>
    <w:p>
      <w:pPr>
        <w:pStyle w:val="style0"/>
        <w:spacing w:after="0" w:before="120"/>
        <w:ind w:hanging="0" w:left="708" w:right="0"/>
        <w:contextualSpacing w:val="false"/>
        <w:jc w:val="both"/>
        <w:rPr>
          <w:rFonts w:ascii="Calibri" w:hAnsi="Calibri"/>
          <w:lang w:val="fr-FR"/>
        </w:rPr>
      </w:pPr>
      <w:r>
        <w:rPr>
          <w:rFonts w:ascii="Calibri" w:hAnsi="Calibri"/>
          <w:lang w:val="fr-FR"/>
        </w:rPr>
        <w:t>C’est urgent! Donne-moi les clés de la voiture, s’il te plait!</w:t>
      </w:r>
    </w:p>
    <w:p>
      <w:pPr>
        <w:pStyle w:val="style0"/>
        <w:spacing w:after="0" w:before="120"/>
        <w:ind w:hanging="0" w:left="720" w:right="0"/>
        <w:contextualSpacing w:val="false"/>
        <w:jc w:val="both"/>
        <w:rPr>
          <w:rFonts w:ascii="Calibri" w:hAnsi="Calibri"/>
          <w:lang w:val="fr-FR"/>
        </w:rPr>
      </w:pPr>
      <w:r>
        <w:rPr>
          <w:rFonts w:ascii="Calibri" w:hAnsi="Calibri"/>
          <w:lang w:val="fr-FR"/>
        </w:rPr>
        <w:t>Il aimerait qu’elle vienne chez moi.</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J’admets qu’il est trop tard mais tu devrais ordonner tes papiers.  </w:t>
      </w:r>
    </w:p>
    <w:p>
      <w:pPr>
        <w:pStyle w:val="style0"/>
        <w:spacing w:after="0" w:before="120"/>
        <w:ind w:hanging="0" w:left="708" w:right="0"/>
        <w:contextualSpacing w:val="false"/>
        <w:jc w:val="both"/>
        <w:rPr>
          <w:rFonts w:ascii="Calibri" w:hAnsi="Calibri"/>
          <w:lang w:val="fr-FR"/>
        </w:rPr>
      </w:pPr>
      <w:r>
        <w:rPr>
          <w:rFonts w:ascii="Calibri" w:hAnsi="Calibri"/>
          <w:lang w:val="fr-FR"/>
        </w:rPr>
        <w:t>Ils se sont promis de garder le secret.</w:t>
      </w:r>
    </w:p>
    <w:p>
      <w:pPr>
        <w:pStyle w:val="style0"/>
        <w:numPr>
          <w:ilvl w:val="0"/>
          <w:numId w:val="3"/>
        </w:numPr>
        <w:spacing w:after="0" w:before="120"/>
        <w:contextualSpacing w:val="false"/>
        <w:jc w:val="both"/>
        <w:rPr>
          <w:rFonts w:ascii="Cambria" w:hAnsi="Cambria"/>
          <w:lang w:val="fr-FR"/>
        </w:rPr>
      </w:pPr>
      <w:r>
        <w:rPr>
          <w:rFonts w:ascii="Cambria" w:hAnsi="Cambria"/>
          <w:lang w:val="fr-FR"/>
        </w:rPr>
        <w:t>Pourquoi disait-on que beaucoup d’affirmations étaient des non-sens? Expliquez pourquoi des phrases telles que « Il rit jaune. » seraient des non-sens.</w:t>
      </w:r>
    </w:p>
    <w:p>
      <w:pPr>
        <w:pStyle w:val="style36"/>
        <w:spacing w:after="0" w:before="120"/>
        <w:contextualSpacing/>
        <w:jc w:val="both"/>
        <w:rPr>
          <w:rFonts w:ascii="Calibri" w:hAnsi="Calibri"/>
          <w:lang w:val="fr-FR"/>
        </w:rPr>
      </w:pPr>
      <w:r>
        <w:rPr>
          <w:rFonts w:ascii="Calibri" w:hAnsi="Calibri"/>
          <w:lang w:val="fr-FR"/>
        </w:rPr>
        <w:t xml:space="preserve">Beaucoup d’affirmations étaient des non-sens parce que les même paraissent  «affirmations de fait descriptive o constative»  mais elles se montrent comme « imposteurs » c’est à dire qu’elles seulement se peuvent expliquer dans un propre contexte culturel. </w:t>
      </w:r>
    </w:p>
    <w:p>
      <w:pPr>
        <w:pStyle w:val="style0"/>
        <w:shd w:fill="FFFFFF" w:val="clear"/>
        <w:ind w:firstLine="708" w:left="0" w:right="0"/>
        <w:jc w:val="both"/>
        <w:rPr/>
      </w:pPr>
      <w:r>
        <w:rPr/>
      </w:r>
    </w:p>
    <w:p>
      <w:pPr>
        <w:pStyle w:val="style0"/>
        <w:shd w:fill="FFFFFF" w:val="clear"/>
        <w:ind w:firstLine="708" w:left="0" w:right="0"/>
        <w:jc w:val="both"/>
        <w:rPr>
          <w:rStyle w:val="style19"/>
          <w:rFonts w:ascii="Calibri" w:cs="Segoe UI" w:hAnsi="Calibri"/>
          <w:color w:val="3A3A3A"/>
          <w:lang w:val="fr-CA"/>
        </w:rPr>
      </w:pPr>
      <w:r>
        <w:rPr>
          <w:rStyle w:val="style18"/>
          <w:rFonts w:ascii="Calibri" w:cs="Segoe UI" w:hAnsi="Calibri"/>
          <w:color w:val="3A3A3A"/>
          <w:lang w:val="fr-CA"/>
        </w:rPr>
        <w:t xml:space="preserve">« Il rit jaune » : </w:t>
      </w:r>
      <w:r>
        <w:rPr>
          <w:rStyle w:val="style19"/>
          <w:rFonts w:ascii="Calibri" w:cs="Segoe UI" w:hAnsi="Calibri"/>
          <w:color w:val="3A3A3A"/>
          <w:lang w:val="fr-CA"/>
        </w:rPr>
        <w:t>il rit</w:t>
      </w:r>
      <w:r>
        <w:rPr>
          <w:rStyle w:val="style17"/>
          <w:rFonts w:ascii="Calibri" w:cs="Segoe UI" w:hAnsi="Calibri"/>
          <w:color w:val="3A3A3A"/>
          <w:lang w:val="fr-CA"/>
        </w:rPr>
        <w:t xml:space="preserve"> forcé</w:t>
      </w:r>
      <w:r>
        <w:rPr>
          <w:rStyle w:val="style19"/>
          <w:rFonts w:ascii="Calibri" w:cs="Segoe UI" w:hAnsi="Calibri"/>
          <w:color w:val="3A3A3A"/>
          <w:lang w:val="fr-CA"/>
        </w:rPr>
        <w:t>,</w:t>
      </w:r>
      <w:r>
        <w:rPr>
          <w:rStyle w:val="style18"/>
          <w:rFonts w:ascii="Calibri" w:cs="Segoe UI" w:hAnsi="Calibri"/>
          <w:color w:val="3A3A3A"/>
          <w:lang w:val="fr-CA"/>
        </w:rPr>
        <w:t> </w:t>
      </w:r>
      <w:r>
        <w:rPr>
          <w:rStyle w:val="style17"/>
          <w:rFonts w:ascii="Calibri" w:cs="Segoe UI" w:hAnsi="Calibri"/>
          <w:color w:val="3A3A3A"/>
          <w:lang w:val="fr-CA"/>
        </w:rPr>
        <w:t xml:space="preserve">il </w:t>
      </w:r>
      <w:r>
        <w:rPr>
          <w:rStyle w:val="style19"/>
          <w:rFonts w:ascii="Calibri" w:cs="Segoe UI" w:hAnsi="Calibri"/>
          <w:color w:val="3A3A3A"/>
          <w:lang w:val="fr-CA"/>
        </w:rPr>
        <w:t>dissimule mal le</w:t>
      </w:r>
      <w:r>
        <w:rPr>
          <w:rStyle w:val="style18"/>
          <w:rFonts w:ascii="Calibri" w:cs="Segoe UI" w:hAnsi="Calibri"/>
          <w:color w:val="3A3A3A"/>
          <w:lang w:val="fr-CA"/>
        </w:rPr>
        <w:t> </w:t>
      </w:r>
      <w:r>
        <w:rPr>
          <w:rStyle w:val="style17"/>
          <w:rFonts w:ascii="Calibri" w:cs="Segoe UI" w:hAnsi="Calibri"/>
          <w:color w:val="3A3A3A"/>
          <w:lang w:val="fr-CA"/>
        </w:rPr>
        <w:t>dépit ou</w:t>
      </w:r>
      <w:r>
        <w:rPr>
          <w:rStyle w:val="style18"/>
          <w:rFonts w:ascii="Calibri" w:cs="Segoe UI" w:hAnsi="Calibri"/>
          <w:color w:val="3A3A3A"/>
          <w:lang w:val="fr-CA"/>
        </w:rPr>
        <w:t> </w:t>
      </w:r>
      <w:r>
        <w:rPr>
          <w:rStyle w:val="style19"/>
          <w:rFonts w:ascii="Calibri" w:cs="Segoe UI" w:hAnsi="Calibri"/>
          <w:color w:val="3A3A3A"/>
          <w:lang w:val="fr-CA"/>
        </w:rPr>
        <w:t>la</w:t>
      </w:r>
      <w:r>
        <w:rPr>
          <w:rStyle w:val="style18"/>
          <w:rFonts w:ascii="Calibri" w:cs="Segoe UI" w:hAnsi="Calibri"/>
          <w:color w:val="3A3A3A"/>
          <w:lang w:val="fr-CA"/>
        </w:rPr>
        <w:t> </w:t>
      </w:r>
      <w:r>
        <w:rPr>
          <w:rStyle w:val="style17"/>
          <w:rFonts w:ascii="Calibri" w:cs="Segoe UI" w:hAnsi="Calibri"/>
          <w:color w:val="3A3A3A"/>
          <w:lang w:val="fr-CA"/>
        </w:rPr>
        <w:t>gêne</w:t>
      </w:r>
      <w:r>
        <w:rPr>
          <w:rStyle w:val="style19"/>
          <w:rFonts w:ascii="Calibri" w:cs="Segoe UI" w:hAnsi="Calibri"/>
          <w:color w:val="3A3A3A"/>
          <w:lang w:val="fr-CA"/>
        </w:rPr>
        <w:t>.</w:t>
      </w:r>
    </w:p>
    <w:p>
      <w:pPr>
        <w:pStyle w:val="style0"/>
        <w:ind w:firstLine="708" w:left="993" w:right="566"/>
        <w:jc w:val="both"/>
        <w:rPr>
          <w:rFonts w:ascii="Calibri" w:cs="Arial" w:hAnsi="Calibri"/>
          <w:i/>
          <w:color w:val="333333"/>
          <w:sz w:val="20"/>
          <w:szCs w:val="20"/>
          <w:lang w:val="fr-CA"/>
        </w:rPr>
      </w:pPr>
      <w:r>
        <w:rPr>
          <w:rFonts w:ascii="Arial" w:cs="Arial" w:hAnsi="Arial"/>
          <w:color w:val="333333"/>
          <w:sz w:val="20"/>
          <w:szCs w:val="20"/>
          <w:lang w:val="fr-CA"/>
        </w:rPr>
        <w:br/>
      </w:r>
      <w:r>
        <w:rPr>
          <w:rFonts w:ascii="Calibri" w:cs="Arial" w:hAnsi="Calibri"/>
          <w:i/>
          <w:color w:val="333333"/>
          <w:sz w:val="20"/>
          <w:szCs w:val="20"/>
          <w:lang w:val="fr-CA"/>
        </w:rPr>
        <w:t xml:space="preserve">Le jaune, lorsqu’il est éclatant, est le symbole d’un être divin. </w:t>
      </w:r>
    </w:p>
    <w:p>
      <w:pPr>
        <w:pStyle w:val="style0"/>
        <w:ind w:hanging="0" w:left="993" w:right="566"/>
        <w:jc w:val="both"/>
        <w:rPr>
          <w:rFonts w:ascii="Calibri" w:cs="Arial" w:hAnsi="Calibri"/>
          <w:i/>
          <w:color w:val="333333"/>
          <w:sz w:val="20"/>
          <w:szCs w:val="20"/>
          <w:lang w:val="fr-CA"/>
        </w:rPr>
      </w:pPr>
      <w:r>
        <w:rPr>
          <w:rFonts w:ascii="Calibri" w:cs="Arial" w:hAnsi="Calibri"/>
          <w:i/>
          <w:color w:val="333333"/>
          <w:sz w:val="20"/>
          <w:szCs w:val="20"/>
          <w:lang w:val="fr-CA"/>
        </w:rPr>
        <w:t>A l’inverse, lorsqu’il n’est brillé pas, il représente le soufre, donc l’enfer, mais aussi la perfidie. Cependant l’expression "</w:t>
      </w:r>
      <w:hyperlink r:id="rId2">
        <w:r>
          <w:rPr>
            <w:rStyle w:val="style21"/>
            <w:rFonts w:ascii="Calibri" w:cs="Arial" w:hAnsi="Calibri"/>
            <w:i/>
            <w:color w:val="333333"/>
            <w:sz w:val="20"/>
            <w:szCs w:val="20"/>
            <w:lang w:val="fr-CA"/>
          </w:rPr>
          <w:t>rire jaune</w:t>
        </w:r>
      </w:hyperlink>
      <w:r>
        <w:rPr>
          <w:rFonts w:ascii="Calibri" w:cs="Arial" w:hAnsi="Calibri"/>
          <w:i/>
          <w:color w:val="333333"/>
          <w:sz w:val="20"/>
          <w:szCs w:val="20"/>
          <w:lang w:val="fr-CA"/>
        </w:rPr>
        <w:t xml:space="preserve">" provient surtout du fait que les hépatiques sont souvent de mauvaise humeur, et lorsqu’ils se forcent à rire, la bile teinte leur visage de cette couleur jaune pâle. </w:t>
      </w:r>
    </w:p>
    <w:p>
      <w:pPr>
        <w:pStyle w:val="style0"/>
        <w:spacing w:after="0" w:before="120"/>
        <w:ind w:hanging="0" w:left="993" w:right="566"/>
        <w:contextualSpacing w:val="false"/>
        <w:jc w:val="both"/>
        <w:rPr>
          <w:rFonts w:ascii="Calibri" w:cs="Arial" w:hAnsi="Calibri"/>
          <w:i/>
          <w:color w:val="333333"/>
          <w:sz w:val="20"/>
          <w:szCs w:val="20"/>
          <w:lang w:val="fr-CA"/>
        </w:rPr>
      </w:pPr>
      <w:r>
        <w:rPr>
          <w:rFonts w:ascii="Calibri" w:cs="Arial" w:hAnsi="Calibri"/>
          <w:i/>
          <w:color w:val="333333"/>
          <w:sz w:val="20"/>
          <w:szCs w:val="20"/>
          <w:lang w:val="fr-CA"/>
        </w:rPr>
        <w:t>Par extension, cette expression ne s’applique qu’à toute personne qui semble se forcer à rire, qui tente de dissimuler sa colère ou qui ne veut pas montrer qu’elle est vexée.</w:t>
      </w:r>
    </w:p>
    <w:p>
      <w:pPr>
        <w:pStyle w:val="style0"/>
        <w:shd w:fill="FFFFFF" w:val="clear"/>
        <w:ind w:firstLine="708" w:left="0" w:right="0"/>
        <w:jc w:val="both"/>
        <w:rPr/>
      </w:pPr>
      <w:r>
        <w:rPr/>
      </w:r>
    </w:p>
    <w:p>
      <w:pPr>
        <w:pStyle w:val="style0"/>
        <w:numPr>
          <w:ilvl w:val="0"/>
          <w:numId w:val="3"/>
        </w:numPr>
        <w:spacing w:after="0" w:before="120"/>
        <w:contextualSpacing w:val="false"/>
        <w:jc w:val="both"/>
        <w:rPr>
          <w:rFonts w:ascii="Cambria" w:hAnsi="Cambria"/>
          <w:lang w:val="fr-FR"/>
        </w:rPr>
      </w:pPr>
      <w:r>
        <w:rPr>
          <w:rFonts w:ascii="Cambria" w:hAnsi="Cambria"/>
          <w:lang w:val="fr-FR"/>
        </w:rPr>
        <w:t>Expliquez quelle action réalise-t-on en prononçant chacune des phrases suivantes:</w:t>
      </w:r>
    </w:p>
    <w:p>
      <w:pPr>
        <w:pStyle w:val="style0"/>
        <w:numPr>
          <w:ilvl w:val="1"/>
          <w:numId w:val="3"/>
        </w:numPr>
        <w:spacing w:after="0" w:before="120"/>
        <w:contextualSpacing w:val="false"/>
        <w:jc w:val="both"/>
        <w:rPr>
          <w:rFonts w:ascii="Cambria" w:hAnsi="Cambria"/>
          <w:lang w:val="fr-FR"/>
        </w:rPr>
      </w:pPr>
      <w:r>
        <w:rPr>
          <w:rFonts w:ascii="Cambria" w:hAnsi="Cambria"/>
          <w:lang w:val="fr-FR"/>
        </w:rPr>
        <w:t xml:space="preserve">Je vous parie un kilo de glace que Gimnasia sera champion </w:t>
      </w:r>
    </w:p>
    <w:p>
      <w:pPr>
        <w:pStyle w:val="style0"/>
        <w:spacing w:after="0" w:before="120"/>
        <w:ind w:hanging="0" w:left="1843" w:right="0"/>
        <w:contextualSpacing w:val="false"/>
        <w:jc w:val="both"/>
        <w:rPr>
          <w:rFonts w:ascii="Calibri" w:hAnsi="Calibri"/>
          <w:lang w:val="fr-FR"/>
        </w:rPr>
      </w:pPr>
      <w:r>
        <w:rPr>
          <w:rFonts w:ascii="Calibri" w:hAnsi="Calibri"/>
          <w:lang w:val="fr-FR"/>
        </w:rPr>
        <w:t xml:space="preserve">Si Gimnasia gagne tu me donneras un kilo de glace. </w:t>
      </w:r>
    </w:p>
    <w:p>
      <w:pPr>
        <w:pStyle w:val="style0"/>
        <w:ind w:hanging="0" w:left="1843" w:right="0"/>
        <w:jc w:val="both"/>
        <w:rPr>
          <w:rFonts w:ascii="Calibri" w:hAnsi="Calibri"/>
          <w:lang w:val="fr-FR"/>
        </w:rPr>
      </w:pPr>
      <w:r>
        <w:rPr>
          <w:rFonts w:ascii="Calibri" w:hAnsi="Calibri"/>
          <w:lang w:val="fr-FR"/>
        </w:rPr>
        <w:t>Si Gimnasia perde je te donnerai un kilo de glace.</w:t>
      </w:r>
    </w:p>
    <w:p>
      <w:pPr>
        <w:pStyle w:val="style0"/>
        <w:spacing w:after="0" w:before="120"/>
        <w:ind w:hanging="0" w:left="1416" w:right="0"/>
        <w:contextualSpacing w:val="false"/>
        <w:jc w:val="both"/>
        <w:rPr>
          <w:rFonts w:ascii="Calibri" w:hAnsi="Calibri"/>
          <w:lang w:val="fr-FR"/>
        </w:rPr>
      </w:pPr>
      <w:r>
        <w:rPr>
          <w:rFonts w:ascii="Calibri" w:hAnsi="Calibri"/>
          <w:lang w:val="fr-FR"/>
        </w:rPr>
        <w:t xml:space="preserve">C’est une énonciation qui conduit à l’action (donner un kilo de glace) à travers d’un accord entre parties. Performative </w:t>
      </w:r>
      <w:r>
        <w:rPr>
          <w:rFonts w:ascii="Cambria" w:hAnsi="Cambria"/>
          <w:sz w:val="20"/>
          <w:szCs w:val="20"/>
          <w:lang w:val="fr-FR"/>
        </w:rPr>
        <w:t>ou « exercitive »</w:t>
      </w:r>
      <w:r>
        <w:rPr>
          <w:rFonts w:ascii="Calibri" w:hAnsi="Calibri"/>
          <w:lang w:val="fr-FR"/>
        </w:rPr>
        <w:t xml:space="preserve"> contractuelle.</w:t>
      </w:r>
    </w:p>
    <w:p>
      <w:pPr>
        <w:pStyle w:val="style0"/>
        <w:ind w:hanging="0" w:left="1440" w:right="0"/>
        <w:jc w:val="both"/>
        <w:rPr>
          <w:rFonts w:ascii="Calibri" w:hAnsi="Calibri"/>
          <w:lang w:val="fr-FR"/>
        </w:rPr>
      </w:pPr>
      <w:r>
        <w:rPr>
          <w:rFonts w:ascii="Calibri" w:hAnsi="Calibri"/>
          <w:lang w:val="fr-FR"/>
        </w:rPr>
      </w:r>
    </w:p>
    <w:p>
      <w:pPr>
        <w:pStyle w:val="style0"/>
        <w:numPr>
          <w:ilvl w:val="1"/>
          <w:numId w:val="3"/>
        </w:numPr>
        <w:spacing w:after="0" w:before="120"/>
        <w:contextualSpacing w:val="false"/>
        <w:jc w:val="both"/>
        <w:rPr>
          <w:rFonts w:ascii="Calibri" w:hAnsi="Calibri"/>
          <w:sz w:val="20"/>
          <w:szCs w:val="20"/>
          <w:lang w:val="fr-FR"/>
        </w:rPr>
      </w:pPr>
      <w:r>
        <w:rPr>
          <w:rFonts w:ascii="Cambria" w:hAnsi="Cambria"/>
          <w:lang w:val="fr-FR"/>
        </w:rPr>
        <w:t xml:space="preserve">Je m’excuse de te déranger. </w:t>
      </w:r>
      <w:r>
        <w:rPr>
          <w:rFonts w:ascii="Calibri" w:hAnsi="Calibri"/>
          <w:lang w:val="fr-FR"/>
        </w:rPr>
        <w:t xml:space="preserve">(Performative - acte d’acceptation d’une erreur, d’une faute) </w:t>
      </w:r>
      <w:r>
        <w:rPr>
          <w:rFonts w:ascii="Calibri" w:hAnsi="Calibri"/>
          <w:sz w:val="20"/>
          <w:szCs w:val="20"/>
          <w:lang w:val="fr-FR"/>
        </w:rPr>
        <w:t>(c’est acte peut être sincère ou fourbe, dans ce cas n’importe pas)</w:t>
      </w:r>
    </w:p>
    <w:p>
      <w:pPr>
        <w:pStyle w:val="style0"/>
        <w:numPr>
          <w:ilvl w:val="1"/>
          <w:numId w:val="3"/>
        </w:numPr>
        <w:spacing w:after="0" w:before="120"/>
        <w:contextualSpacing w:val="false"/>
        <w:jc w:val="both"/>
        <w:rPr>
          <w:rFonts w:ascii="Calibri" w:hAnsi="Calibri"/>
          <w:lang w:val="fr-FR"/>
        </w:rPr>
      </w:pPr>
      <w:r>
        <w:rPr>
          <w:rFonts w:ascii="Cambria" w:hAnsi="Cambria"/>
          <w:lang w:val="fr-FR"/>
        </w:rPr>
        <w:t xml:space="preserve">J’accuse M. X d’avoir détourné de l’argent public… </w:t>
      </w:r>
      <w:r>
        <w:rPr>
          <w:rFonts w:ascii="Calibri" w:hAnsi="Calibri"/>
          <w:lang w:val="fr-FR"/>
        </w:rPr>
        <w:t>(Performative – acte de dénonciation)</w:t>
      </w:r>
    </w:p>
    <w:p>
      <w:pPr>
        <w:pStyle w:val="style0"/>
        <w:numPr>
          <w:ilvl w:val="1"/>
          <w:numId w:val="3"/>
        </w:numPr>
        <w:spacing w:after="0" w:before="120"/>
        <w:contextualSpacing w:val="false"/>
        <w:jc w:val="both"/>
        <w:rPr>
          <w:rFonts w:ascii="Calibri" w:hAnsi="Calibri"/>
          <w:sz w:val="20"/>
          <w:szCs w:val="20"/>
          <w:lang w:val="fr-FR"/>
        </w:rPr>
      </w:pPr>
      <w:r>
        <w:rPr>
          <w:rFonts w:ascii="Cambria" w:hAnsi="Cambria"/>
          <w:lang w:val="fr-FR"/>
        </w:rPr>
        <w:t xml:space="preserve">Je vous remercie de votre attention. </w:t>
      </w:r>
      <w:r>
        <w:rPr>
          <w:rFonts w:ascii="Calibri" w:hAnsi="Calibri"/>
          <w:lang w:val="fr-FR"/>
        </w:rPr>
        <w:t xml:space="preserve">(Performative – acte de sentiment) </w:t>
      </w:r>
      <w:r>
        <w:rPr>
          <w:rFonts w:ascii="Calibri" w:hAnsi="Calibri"/>
          <w:sz w:val="20"/>
          <w:szCs w:val="20"/>
          <w:lang w:val="fr-FR"/>
        </w:rPr>
        <w:t>(c’est acte peut être sincère ou fourbe, c’est possible que soit un simple acte formel, dans ce cas n'est pas important analyser la vraie intention de la personne qui formule l'énonciation)</w:t>
      </w:r>
    </w:p>
    <w:p>
      <w:pPr>
        <w:pStyle w:val="style0"/>
        <w:numPr>
          <w:ilvl w:val="1"/>
          <w:numId w:val="3"/>
        </w:numPr>
        <w:spacing w:after="0" w:before="120"/>
        <w:contextualSpacing w:val="false"/>
        <w:jc w:val="both"/>
        <w:rPr>
          <w:rFonts w:ascii="Cambria" w:hAnsi="Cambria"/>
          <w:lang w:val="fr-FR"/>
        </w:rPr>
      </w:pPr>
      <w:r>
        <w:rPr>
          <w:rFonts w:ascii="Cambria" w:hAnsi="Cambria"/>
          <w:lang w:val="fr-FR"/>
        </w:rPr>
        <w:t>Ce tribunal vous déclare innocent. (Performative, déclarative)</w:t>
      </w:r>
    </w:p>
    <w:p>
      <w:pPr>
        <w:pStyle w:val="style0"/>
        <w:spacing w:after="0" w:before="120"/>
        <w:contextualSpacing w:val="false"/>
        <w:jc w:val="both"/>
        <w:rPr>
          <w:rFonts w:ascii="Cambria" w:hAnsi="Cambria"/>
          <w:lang w:val="fr-FR"/>
        </w:rPr>
      </w:pPr>
      <w:r>
        <w:rPr>
          <w:rFonts w:ascii="Cambria" w:hAnsi="Cambria"/>
          <w:lang w:val="fr-FR"/>
        </w:rPr>
      </w:r>
    </w:p>
    <w:p>
      <w:pPr>
        <w:pStyle w:val="style0"/>
        <w:numPr>
          <w:ilvl w:val="0"/>
          <w:numId w:val="3"/>
        </w:numPr>
        <w:spacing w:after="0" w:before="120"/>
        <w:contextualSpacing w:val="false"/>
        <w:jc w:val="both"/>
        <w:rPr>
          <w:rFonts w:ascii="Cambria" w:hAnsi="Cambria"/>
          <w:lang w:val="fr-FR"/>
        </w:rPr>
      </w:pPr>
      <w:r>
        <w:rPr>
          <w:rFonts w:ascii="Cambria" w:hAnsi="Cambria"/>
          <w:lang w:val="fr-FR"/>
        </w:rPr>
        <w:t>Comment Austin justifie-t-il l’emploi du terme ‘performatif’?</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Le terme « performative » d’Austin, plus tard il dira «exercitive», il l’applique et le justifie quand la </w:t>
      </w:r>
      <w:r>
        <w:rPr>
          <w:rFonts w:ascii="Calibri" w:hAnsi="Calibri"/>
          <w:b/>
          <w:lang w:val="fr-FR"/>
        </w:rPr>
        <w:t>parole</w:t>
      </w:r>
      <w:r>
        <w:rPr>
          <w:rFonts w:ascii="Calibri" w:hAnsi="Calibri"/>
          <w:lang w:val="fr-FR"/>
        </w:rPr>
        <w:t xml:space="preserve"> c’est </w:t>
      </w:r>
      <w:r>
        <w:rPr>
          <w:rFonts w:ascii="Calibri" w:hAnsi="Calibri"/>
          <w:b/>
          <w:lang w:val="fr-FR"/>
        </w:rPr>
        <w:t>la action</w:t>
      </w:r>
      <w:r>
        <w:rPr>
          <w:rFonts w:ascii="Calibri" w:hAnsi="Calibri"/>
          <w:lang w:val="fr-FR"/>
        </w:rPr>
        <w:t xml:space="preserve">. C’est la parole </w:t>
      </w:r>
      <w:r>
        <w:rPr>
          <w:rFonts w:ascii="Calibri" w:hAnsi="Calibri"/>
          <w:b/>
          <w:lang w:val="fr-FR"/>
        </w:rPr>
        <w:t>en exercice</w:t>
      </w:r>
      <w:r>
        <w:rPr>
          <w:rFonts w:ascii="Calibri" w:hAnsi="Calibri"/>
          <w:lang w:val="fr-FR"/>
        </w:rPr>
        <w:t xml:space="preserve">. </w:t>
      </w:r>
    </w:p>
    <w:p>
      <w:pPr>
        <w:pStyle w:val="style0"/>
        <w:spacing w:after="0" w:before="120"/>
        <w:ind w:hanging="0" w:left="720" w:right="0"/>
        <w:contextualSpacing w:val="false"/>
        <w:jc w:val="both"/>
        <w:rPr>
          <w:rFonts w:ascii="Calibri" w:hAnsi="Calibri"/>
          <w:lang w:val="fr-FR"/>
        </w:rPr>
      </w:pPr>
      <w:r>
        <w:rPr>
          <w:rFonts w:ascii="Calibri" w:hAnsi="Calibri"/>
          <w:lang w:val="fr-FR"/>
        </w:rPr>
        <w:t>C’est-à-dire que quand on s’énonce une phrase dans le contexte adéquat, s’est en train de faire quelque chose en concordance avec ces paroles</w:t>
      </w:r>
    </w:p>
    <w:p>
      <w:pPr>
        <w:pStyle w:val="style36"/>
        <w:numPr>
          <w:ilvl w:val="0"/>
          <w:numId w:val="3"/>
        </w:numPr>
        <w:spacing w:after="0" w:before="120"/>
        <w:contextualSpacing/>
        <w:jc w:val="both"/>
        <w:rPr>
          <w:rFonts w:ascii="Cambria" w:hAnsi="Cambria"/>
          <w:lang w:val="fr-FR"/>
        </w:rPr>
      </w:pPr>
      <w:r>
        <w:rPr>
          <w:rFonts w:ascii="Cambria" w:hAnsi="Cambria"/>
          <w:lang w:val="fr-FR"/>
        </w:rPr>
        <w:t>Quelles sont les conditions de félicité des phrases (a) et (e) ?</w:t>
      </w:r>
    </w:p>
    <w:p>
      <w:pPr>
        <w:pStyle w:val="style0"/>
        <w:spacing w:after="0" w:before="120"/>
        <w:ind w:hanging="0" w:left="708" w:right="0"/>
        <w:contextualSpacing w:val="false"/>
        <w:jc w:val="both"/>
        <w:rPr>
          <w:rFonts w:ascii="Calibri" w:hAnsi="Calibri"/>
          <w:lang w:val="fr-FR"/>
        </w:rPr>
      </w:pPr>
      <w:r>
        <w:rPr>
          <w:rFonts w:ascii="Calibri" w:hAnsi="Calibri"/>
          <w:lang w:val="fr-FR"/>
        </w:rPr>
        <w:t xml:space="preserve">La condition de félicite de la phrase (a) est que les parties qui </w:t>
      </w:r>
      <w:r>
        <w:rPr>
          <w:rStyle w:val="style18"/>
          <w:rFonts w:ascii="Calibri" w:cs="Arial" w:hAnsi="Calibri"/>
          <w:color w:val="363636"/>
          <w:shd w:fill="FFFFFF" w:val="clear"/>
          <w:lang w:val="fr-CA"/>
        </w:rPr>
        <w:t>s</w:t>
      </w:r>
      <w:r>
        <w:rPr>
          <w:rFonts w:ascii="Calibri" w:cs="Arial" w:hAnsi="Calibri"/>
          <w:b w:val="false"/>
          <w:iCs/>
          <w:color w:val="363636"/>
          <w:shd w:fill="FFFFFF" w:val="clear"/>
          <w:lang w:val="fr-CA"/>
        </w:rPr>
        <w:t xml:space="preserve">e sont mises d’accord </w:t>
      </w:r>
      <w:r>
        <w:rPr>
          <w:rFonts w:ascii="Calibri" w:hAnsi="Calibri"/>
          <w:lang w:val="fr-FR"/>
        </w:rPr>
        <w:t xml:space="preserve">se comportent avec loyauté est la personne qui gagne la parie reçoit le kilo de glace. </w:t>
      </w:r>
    </w:p>
    <w:p>
      <w:pPr>
        <w:pStyle w:val="style0"/>
        <w:spacing w:after="0" w:before="120"/>
        <w:ind w:hanging="0" w:left="708" w:right="0"/>
        <w:contextualSpacing w:val="false"/>
        <w:jc w:val="both"/>
        <w:rPr>
          <w:rFonts w:ascii="Calibri" w:hAnsi="Calibri"/>
          <w:lang w:val="fr-FR"/>
        </w:rPr>
      </w:pPr>
      <w:r>
        <w:rPr>
          <w:rFonts w:ascii="Calibri" w:hAnsi="Calibri"/>
          <w:lang w:val="fr-FR"/>
        </w:rPr>
        <w:t xml:space="preserve">L’acte qu’énoncé la phrase sera vrai o fausse, d’accord à la sérieux des parties. C’est-à-dire que pour établir la condition de félicité de la phrase doit exister consistance, cohérence entre le dire et le faire,  entre l’énoncée et l’acte. </w:t>
      </w:r>
    </w:p>
    <w:p>
      <w:pPr>
        <w:pStyle w:val="style0"/>
        <w:spacing w:after="0" w:before="120"/>
        <w:ind w:hanging="0" w:left="720" w:right="0"/>
        <w:contextualSpacing w:val="false"/>
        <w:jc w:val="both"/>
        <w:rPr>
          <w:rFonts w:ascii="Calibri" w:hAnsi="Calibri"/>
          <w:lang w:val="fr-FR"/>
        </w:rPr>
      </w:pPr>
      <w:r>
        <w:rPr>
          <w:rFonts w:ascii="Calibri" w:hAnsi="Calibri"/>
          <w:lang w:val="fr-FR"/>
        </w:rPr>
        <w:t xml:space="preserve">Dans le cas (e), cet acte en parole est vrai parce qu’est soutenu dans le domaine de la justice. C’est-à-dire que la phrase coïncide avec l’acte. L’acte se valide  dans s’adéquat marc institutionnel. </w:t>
      </w:r>
    </w:p>
    <w:p>
      <w:pPr>
        <w:pStyle w:val="style36"/>
        <w:numPr>
          <w:ilvl w:val="0"/>
          <w:numId w:val="3"/>
        </w:numPr>
        <w:spacing w:after="0" w:before="120"/>
        <w:contextualSpacing/>
        <w:jc w:val="both"/>
        <w:rPr>
          <w:rFonts w:ascii="Cambria" w:hAnsi="Cambria"/>
          <w:lang w:val="fr-FR"/>
        </w:rPr>
      </w:pPr>
      <w:r>
        <w:rPr>
          <w:rFonts w:ascii="Cambria" w:hAnsi="Cambria"/>
          <w:lang w:val="fr-FR"/>
        </w:rPr>
        <w:t xml:space="preserve">Si une énonciation ne satisfait pas des conditions de félicité, on en déduit qu’elle est fausse ? Pourquoi ? </w:t>
      </w:r>
    </w:p>
    <w:p>
      <w:pPr>
        <w:pStyle w:val="style36"/>
        <w:spacing w:after="0" w:before="120"/>
        <w:contextualSpacing/>
        <w:jc w:val="both"/>
        <w:rPr>
          <w:rFonts w:ascii="Calibri" w:hAnsi="Calibri"/>
          <w:lang w:val="fr-FR"/>
        </w:rPr>
      </w:pPr>
      <w:r>
        <w:rPr>
          <w:rFonts w:ascii="Calibri" w:hAnsi="Calibri"/>
          <w:lang w:val="fr-FR"/>
        </w:rPr>
      </w:r>
    </w:p>
    <w:p>
      <w:pPr>
        <w:pStyle w:val="style36"/>
        <w:spacing w:after="0" w:before="120"/>
        <w:contextualSpacing/>
        <w:jc w:val="both"/>
        <w:rPr>
          <w:rFonts w:ascii="Calibri" w:hAnsi="Calibri"/>
          <w:lang w:val="fr-FR"/>
        </w:rPr>
      </w:pPr>
      <w:r>
        <w:rPr>
          <w:rFonts w:ascii="Calibri" w:hAnsi="Calibri"/>
          <w:lang w:val="fr-FR"/>
        </w:rPr>
        <w:t>Quand une énonciation ne satisfait pas des conditions de félicité, la même ne pas une menterie au une affirmation qui n’est pas réussi. Une énonciation n’a pas la fonction de réaliser quelque acte.</w:t>
      </w:r>
    </w:p>
    <w:p>
      <w:pPr>
        <w:pStyle w:val="style36"/>
        <w:spacing w:after="0" w:before="120"/>
        <w:contextualSpacing/>
        <w:jc w:val="both"/>
        <w:rPr>
          <w:rFonts w:ascii="Calibri" w:hAnsi="Calibri"/>
          <w:lang w:val="fr-FR"/>
        </w:rPr>
      </w:pPr>
      <w:r>
        <w:rPr>
          <w:rFonts w:ascii="Calibri" w:hAnsi="Calibri"/>
          <w:lang w:val="fr-FR"/>
        </w:rPr>
        <w:t xml:space="preserve">Par exemple en (a), la phrase est énoncée par des parties et de commun accorde avant le match de football. La phrase est statique sans possibilité de ne faire rien. Elle est prononcée par les acteurs (les parties), si l’énoncé ne satisfait pas des conditions de félicité est parce qu’a échoué l’interaction entre les acteurs et  on se parlera « d’un faux mouvement », d’un faux acte. L'acte sera vrai o fausse d’accord la sérieux des parties. </w:t>
      </w:r>
    </w:p>
    <w:p>
      <w:pPr>
        <w:pStyle w:val="style0"/>
        <w:spacing w:after="0" w:before="120"/>
        <w:ind w:hanging="0" w:left="720" w:right="0"/>
        <w:contextualSpacing w:val="false"/>
        <w:jc w:val="both"/>
        <w:rPr>
          <w:rFonts w:ascii="Calibri" w:hAnsi="Calibri"/>
          <w:lang w:val="fr-FR"/>
        </w:rPr>
      </w:pPr>
      <w:r>
        <w:rPr>
          <w:rFonts w:ascii="Calibri" w:hAnsi="Calibri"/>
          <w:lang w:val="fr-FR"/>
        </w:rPr>
        <w:t>Dans le cas (e) l’énonciation ne se questionne pas pour le verdict de la sentence juridique. Cet acte est vrai parce qu’est soutenu dans un marc institutionnel.</w:t>
      </w:r>
    </w:p>
    <w:p>
      <w:pPr>
        <w:pStyle w:val="style0"/>
        <w:jc w:val="both"/>
        <w:rPr>
          <w:rFonts w:ascii="Calibri" w:hAnsi="Calibri"/>
          <w:lang w:val="fr-CA"/>
        </w:rPr>
      </w:pPr>
      <w:r>
        <w:rPr>
          <w:rFonts w:ascii="Calibri" w:hAnsi="Calibri"/>
          <w:lang w:val="fr-CA"/>
        </w:rPr>
      </w:r>
    </w:p>
    <w:p>
      <w:pPr>
        <w:pStyle w:val="style0"/>
        <w:jc w:val="both"/>
        <w:rPr>
          <w:rFonts w:ascii="Cambria" w:hAnsi="Cambria"/>
          <w:b/>
          <w:lang w:val="fr-CA"/>
        </w:rPr>
      </w:pPr>
      <w:r>
        <w:rPr>
          <w:rFonts w:ascii="Cambria" w:hAnsi="Cambria"/>
          <w:b/>
          <w:lang w:val="fr-CA"/>
        </w:rPr>
      </w:r>
    </w:p>
    <w:p>
      <w:pPr>
        <w:pStyle w:val="style0"/>
        <w:spacing w:after="0" w:before="120"/>
        <w:contextualSpacing w:val="false"/>
        <w:jc w:val="both"/>
        <w:rPr>
          <w:rFonts w:ascii="Calibri" w:hAnsi="Calibri"/>
          <w:lang w:val="fr-CA"/>
        </w:rPr>
      </w:pPr>
      <w:r>
        <w:rPr>
          <w:rFonts w:ascii="Calibri" w:hAnsi="Calibri"/>
          <w:lang w:val="fr-CA"/>
        </w:rPr>
      </w:r>
    </w:p>
    <w:p>
      <w:pPr>
        <w:pStyle w:val="style0"/>
        <w:spacing w:after="0" w:before="120"/>
        <w:contextualSpacing w:val="false"/>
        <w:jc w:val="both"/>
        <w:rPr/>
      </w:pPr>
      <w:r>
        <w:rPr/>
      </w:r>
    </w:p>
    <w:sectPr>
      <w:headerReference r:id="rId3" w:type="default"/>
      <w:footerReference r:id="rId4" w:type="default"/>
      <w:footnotePr>
        <w:numFmt w:val="decimal"/>
      </w:footnotePr>
      <w:type w:val="nextPage"/>
      <w:pgSz w:h="16838" w:w="11906"/>
      <w:pgMar w:bottom="1417" w:footer="708" w:gutter="0" w:header="708"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Segoe UI">
    <w:charset w:val="01"/>
    <w:family w:val="roman"/>
    <w:pitch w:val="variable"/>
  </w:font>
  <w:font w:name="Arial">
    <w:charset w:val="01"/>
    <w:family w:val="swiss"/>
    <w:pitch w:val="variable"/>
  </w:font>
  <w:font w:name="Cambria">
    <w:charset w:val="01"/>
    <w:family w:val="roman"/>
    <w:pitch w:val="variable"/>
  </w:font>
  <w:font w:name="Calibri">
    <w:charset w:val="01"/>
    <w:family w:val="roman"/>
    <w:pitch w:val="variable"/>
  </w:font>
  <w:font w:name="Arial">
    <w:charset w:val="01"/>
    <w:family w:val="roman"/>
    <w:pitch w:val="variable"/>
  </w:font>
  <w:font w:name="Bookman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rPr/>
    </w:pPr>
    <w:r>
      <w:rPr/>
    </w:r>
  </w:p>
</w:ftr>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7"/>
        <w:rPr/>
      </w:pPr>
      <w:r>
        <w:rPr/>
        <w:footnoteRef/>
        <w:tab/>
        <w:t>De valeur de vérité.</w:t>
      </w:r>
    </w:p>
  </w:footnote>
  <w:footnote w:id="3">
    <w:p>
      <w:pPr>
        <w:pStyle w:val="style37"/>
        <w:rPr/>
      </w:pPr>
      <w:r>
        <w:rPr/>
        <w:footnoteRef/>
        <w:tab/>
        <w:t xml:space="preserve"> </w:t>
      </w:r>
      <w:r>
        <w:rPr/>
        <w:t xml:space="preserve">Austin affirme que + (Complément de temps -lieu, manière, …-,) + sujet+verbe+complément. “Traditionnellement, face à une “affirmation”, les philosophes en </w:t>
      </w:r>
      <w:r>
        <w:rPr>
          <w:shd w:fill="83CAFF" w:val="clear"/>
        </w:rPr>
        <w:t>pouvaient</w:t>
      </w:r>
      <w:r>
        <w:rPr/>
        <w:t xml:space="preserve"> qu'émettre un jugement de valeur de vérité”. Peut-être, ce n'est pas qu'ils en pouvaient pas faire autre chose, mais que, jusqu'à ce moment-là, le sens d'une proposition était jugé ainsi.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rPr>
        <w:rStyle w:val="style16"/>
        <w:rFonts w:ascii="Bookman Old Style" w:hAnsi="Bookman Old Style"/>
        <w:sz w:val="20"/>
        <w:szCs w:val="20"/>
        <w:lang w:val="fr-CA"/>
      </w:rPr>
    </w:pPr>
    <w:r>
      <w:rPr>
        <w:rFonts w:ascii="Bookman Old Style" w:hAnsi="Bookman Old Style"/>
        <w:i/>
        <w:sz w:val="20"/>
        <w:szCs w:val="20"/>
        <w:lang w:val="fr-FR"/>
      </w:rPr>
      <w:t>Langue Française 1</w:t>
    </w:r>
    <w:r>
      <w:rPr>
        <w:rFonts w:ascii="Bookman Old Style" w:hAnsi="Bookman Old Style"/>
        <w:sz w:val="20"/>
        <w:szCs w:val="20"/>
        <w:lang w:val="fr-CA"/>
      </w:rPr>
      <w:t xml:space="preserve">                  </w:t>
      <w:tab/>
      <w:t xml:space="preserve">John Austin (1965)        </w:t>
    </w:r>
    <w:bookmarkStart w:id="0" w:name="_GoBack"/>
    <w:bookmarkEnd w:id="0"/>
    <w:r>
      <w:rPr>
        <w:rFonts w:ascii="Bookman Old Style" w:hAnsi="Bookman Old Style"/>
        <w:sz w:val="20"/>
        <w:szCs w:val="20"/>
        <w:lang w:val="fr-CA"/>
      </w:rPr>
      <w:t xml:space="preserve"> Virginia Dubarbier- 04/2017</w:t>
      <w:tab/>
    </w:r>
    <w:r>
      <w:rPr>
        <w:rStyle w:val="style16"/>
        <w:rFonts w:ascii="Bookman Old Style" w:hAnsi="Bookman Old Style"/>
        <w:sz w:val="20"/>
        <w:szCs w:val="20"/>
        <w:lang w:val="fr-CA"/>
      </w:rPr>
      <w:fldChar w:fldCharType="begin"/>
    </w:r>
    <w:r>
      <w:instrText> PAGE </w:instrText>
    </w:r>
    <w:r>
      <w:fldChar w:fldCharType="separate"/>
    </w:r>
    <w:r>
      <w:t>4</w:t>
    </w:r>
    <w:r>
      <w:fldChar w:fldCharType="end"/>
    </w:r>
  </w:p>
  <w:p>
    <w:pPr>
      <w:pStyle w:val="style32"/>
      <w:rPr>
        <w:rStyle w:val="style16"/>
        <w:rFonts w:ascii="Bookman Old Style" w:hAnsi="Bookman Old Style"/>
        <w:sz w:val="20"/>
        <w:szCs w:val="20"/>
      </w:rPr>
    </w:pPr>
    <w:r>
      <w:rPr>
        <w:rStyle w:val="style16"/>
        <w:rFonts w:ascii="Bookman Old Style" w:hAnsi="Bookman Old Style"/>
        <w:sz w:val="20"/>
        <w:szCs w:val="20"/>
      </w:rPr>
      <w:t xml:space="preserve">Prof. Karina Ibáñez </w:t>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2">
    <w:lvl w:ilvl="0">
      <w:start w:val="5"/>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auto"/>
      <w:sz w:val="24"/>
      <w:szCs w:val="24"/>
      <w:lang w:bidi="ar-SA" w:eastAsia="es-ES" w:val="es-ES"/>
    </w:rPr>
  </w:style>
  <w:style w:styleId="style15" w:type="character">
    <w:name w:val="Default Paragraph Font"/>
    <w:next w:val="style15"/>
    <w:rPr/>
  </w:style>
  <w:style w:styleId="style16" w:type="character">
    <w:name w:val="page number"/>
    <w:basedOn w:val="style15"/>
    <w:next w:val="style16"/>
    <w:rPr/>
  </w:style>
  <w:style w:styleId="style17" w:type="character">
    <w:name w:val="autoselectword"/>
    <w:basedOn w:val="style15"/>
    <w:next w:val="style17"/>
    <w:rPr/>
  </w:style>
  <w:style w:styleId="style18" w:type="character">
    <w:name w:val="apple-converted-space"/>
    <w:basedOn w:val="style15"/>
    <w:next w:val="style18"/>
    <w:rPr/>
  </w:style>
  <w:style w:styleId="style19" w:type="character">
    <w:name w:val="s_gls"/>
    <w:basedOn w:val="style15"/>
    <w:next w:val="style19"/>
    <w:rPr/>
  </w:style>
  <w:style w:styleId="style20" w:type="character">
    <w:name w:val="Balloon Text Char"/>
    <w:basedOn w:val="style15"/>
    <w:next w:val="style20"/>
    <w:rPr>
      <w:rFonts w:ascii="Segoe UI" w:cs="Segoe UI" w:hAnsi="Segoe UI"/>
      <w:sz w:val="18"/>
      <w:szCs w:val="18"/>
      <w:lang w:eastAsia="es-ES" w:val="es-ES"/>
    </w:rPr>
  </w:style>
  <w:style w:styleId="style21" w:type="character">
    <w:name w:val="Internet Link"/>
    <w:basedOn w:val="style15"/>
    <w:next w:val="style21"/>
    <w:rPr>
      <w:color w:val="0000FF"/>
      <w:u w:val="single"/>
      <w:lang w:bidi="zxx-" w:eastAsia="zxx-" w:val="zxx-"/>
    </w:rPr>
  </w:style>
  <w:style w:styleId="style22" w:type="character">
    <w:name w:val="Strong Emphasis"/>
    <w:basedOn w:val="style15"/>
    <w:next w:val="style22"/>
    <w:rPr>
      <w:b/>
      <w:bCs/>
    </w:rPr>
  </w:style>
  <w:style w:styleId="style23" w:type="character">
    <w:name w:val="Footnote Characters"/>
    <w:next w:val="style23"/>
    <w:rPr/>
  </w:style>
  <w:style w:styleId="style24" w:type="character">
    <w:name w:val="Footnote Anchor"/>
    <w:next w:val="style24"/>
    <w:rPr>
      <w:vertAlign w:val="superscript"/>
    </w:rPr>
  </w:style>
  <w:style w:styleId="style25" w:type="character">
    <w:name w:val="Endnote Anchor"/>
    <w:next w:val="style25"/>
    <w:rPr>
      <w:vertAlign w:val="superscript"/>
    </w:rPr>
  </w:style>
  <w:style w:styleId="style26" w:type="character">
    <w:name w:val="Endnote Characters"/>
    <w:next w:val="style26"/>
    <w:rPr/>
  </w:style>
  <w:style w:styleId="style27" w:type="paragraph">
    <w:name w:val="Heading"/>
    <w:basedOn w:val="style0"/>
    <w:next w:val="style28"/>
    <w:pPr>
      <w:keepNext/>
      <w:spacing w:after="120" w:before="240"/>
      <w:contextualSpacing w:val="false"/>
    </w:pPr>
    <w:rPr>
      <w:rFonts w:ascii="Arial" w:cs="Lohit Hindi" w:eastAsia="DejaVu Sans" w:hAnsi="Arial"/>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cs="Lohit Hindi"/>
    </w:rPr>
  </w:style>
  <w:style w:styleId="style30" w:type="paragraph">
    <w:name w:val="Caption"/>
    <w:basedOn w:val="style0"/>
    <w:next w:val="style30"/>
    <w:pPr>
      <w:suppressLineNumbers/>
      <w:spacing w:after="120" w:before="120"/>
      <w:contextualSpacing w:val="false"/>
    </w:pPr>
    <w:rPr>
      <w:rFonts w:cs="Lohit Hindi"/>
      <w:i/>
      <w:iCs/>
      <w:sz w:val="24"/>
      <w:szCs w:val="24"/>
    </w:rPr>
  </w:style>
  <w:style w:styleId="style31" w:type="paragraph">
    <w:name w:val="Index"/>
    <w:basedOn w:val="style0"/>
    <w:next w:val="style31"/>
    <w:pPr>
      <w:suppressLineNumbers/>
    </w:pPr>
    <w:rPr>
      <w:rFonts w:cs="Lohit Hindi"/>
    </w:rPr>
  </w:style>
  <w:style w:styleId="style32" w:type="paragraph">
    <w:name w:val="Header"/>
    <w:basedOn w:val="style0"/>
    <w:next w:val="style32"/>
    <w:pPr>
      <w:tabs>
        <w:tab w:leader="none" w:pos="4252" w:val="center"/>
        <w:tab w:leader="none" w:pos="8504" w:val="right"/>
      </w:tabs>
    </w:pPr>
    <w:rPr/>
  </w:style>
  <w:style w:styleId="style33" w:type="paragraph">
    <w:name w:val="Footer"/>
    <w:basedOn w:val="style0"/>
    <w:next w:val="style33"/>
    <w:pPr>
      <w:tabs>
        <w:tab w:leader="none" w:pos="4252" w:val="center"/>
        <w:tab w:leader="none" w:pos="8504" w:val="right"/>
      </w:tabs>
    </w:pPr>
    <w:rPr/>
  </w:style>
  <w:style w:styleId="style34" w:type="paragraph">
    <w:name w:val="Balloon Text"/>
    <w:basedOn w:val="style0"/>
    <w:next w:val="style34"/>
    <w:pPr/>
    <w:rPr>
      <w:rFonts w:ascii="Segoe UI" w:cs="Segoe UI" w:hAnsi="Segoe UI"/>
      <w:sz w:val="18"/>
      <w:szCs w:val="18"/>
    </w:rPr>
  </w:style>
  <w:style w:styleId="style35" w:type="paragraph">
    <w:name w:val="rubrique_fiche_expression"/>
    <w:basedOn w:val="style0"/>
    <w:next w:val="style35"/>
    <w:pPr>
      <w:spacing w:after="280" w:before="280"/>
      <w:contextualSpacing w:val="false"/>
    </w:pPr>
    <w:rPr>
      <w:lang w:eastAsia="es-AR" w:val="es-AR"/>
    </w:rPr>
  </w:style>
  <w:style w:styleId="style36" w:type="paragraph">
    <w:name w:val="List Paragraph"/>
    <w:basedOn w:val="style0"/>
    <w:next w:val="style36"/>
    <w:pPr>
      <w:spacing w:after="0" w:before="0"/>
      <w:ind w:hanging="0" w:left="720" w:right="0"/>
      <w:contextualSpacing/>
    </w:pPr>
    <w:rPr/>
  </w:style>
  <w:style w:styleId="style37" w:type="paragraph">
    <w:name w:val="Footnote"/>
    <w:basedOn w:val="style0"/>
    <w:next w:val="style3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nternaute.com/expression/langue-francaise/107/rire-jaune/"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2064</TotalTime>
  <Application>LibreOffice/4.1.3.2$Linux_X86_64 LibreOffice_project/410m0$Build-2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2017-04-20T12:48:00Z</dcterms:created>
  <dc:creator>Primera AIO</dc:creator>
  <cp:lastModifiedBy>Virginia Dubarbier</cp:lastModifiedBy>
  <cp:lastPrinted>2017-04-21T01:06:00Z</cp:lastPrinted>
  <dcterms:modified xsi:type="dcterms:W3CDTF">2017-04-23T13:06:00Z</dcterms:modified>
  <cp:revision>15</cp:revision>
  <dc:title>Questionnaire Austin</dc:title>
</cp:coreProperties>
</file>