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rPr>
          <w:rFonts w:ascii="Cambria" w:hAnsi="Cambria"/>
          <w:lang w:val="es-AR"/>
        </w:rPr>
      </w:pPr>
      <w:r>
        <w:rPr>
          <w:rFonts w:ascii="Cambria" w:hAnsi="Cambria"/>
          <w:lang w:val="es-AR"/>
        </w:rPr>
        <w:t>Agostina Orellana</w:t>
        <w:br/>
        <w:t>Questionnaire:</w:t>
      </w:r>
    </w:p>
    <w:p>
      <w:pPr>
        <w:pStyle w:val="style0"/>
        <w:rPr>
          <w:rFonts w:ascii="Cambria" w:hAnsi="Cambria"/>
          <w:lang w:val="es-AR"/>
        </w:rPr>
      </w:pPr>
      <w:r>
        <w:rPr>
          <w:rFonts w:ascii="Cambria" w:hAnsi="Cambria"/>
          <w:lang w:val="es-AR"/>
        </w:rPr>
      </w:r>
    </w:p>
    <w:p>
      <w:pPr>
        <w:pStyle w:val="style0"/>
        <w:numPr>
          <w:ilvl w:val="0"/>
          <w:numId w:val="1"/>
        </w:numPr>
        <w:spacing w:after="0" w:before="120"/>
        <w:contextualSpacing w:val="false"/>
        <w:rPr>
          <w:rFonts w:ascii="Cambria" w:hAnsi="Cambria"/>
          <w:lang w:val="fr-FR"/>
        </w:rPr>
      </w:pPr>
      <w:r>
        <w:rPr>
          <w:rFonts w:ascii="Cambria" w:hAnsi="Cambria"/>
          <w:lang w:val="fr-FR"/>
        </w:rPr>
        <w:t>L’auteur parle du rôle que les philosophes accordent traditionnellement aux “affirmations”. Donnez-en des exemples.</w:t>
        <w:br/>
        <w:t>L'auteur dit que le rôle de une "affirmation" ne pouvait être autre que décrire un état de choses ou "d'affirmer un fait quelconque", et pour faire ça la phrase devrait être vrai</w:t>
      </w:r>
      <w:r>
        <w:rPr>
          <w:rFonts w:ascii="Cambria" w:hAnsi="Cambria"/>
          <w:color w:val="00CC33"/>
          <w:lang w:val="fr-FR"/>
        </w:rPr>
        <w:t>e</w:t>
      </w:r>
      <w:r>
        <w:rPr>
          <w:rFonts w:ascii="Cambria" w:hAnsi="Cambria"/>
          <w:lang w:val="fr-FR"/>
        </w:rPr>
        <w:t xml:space="preserve"> ou fausse. Par exemple, si je dis "Il pleut aujourd'hui", c’est une phrase vrai</w:t>
      </w:r>
      <w:r>
        <w:rPr>
          <w:rFonts w:ascii="Cambria" w:hAnsi="Cambria"/>
          <w:color w:val="00CC33"/>
          <w:lang w:val="fr-FR"/>
        </w:rPr>
        <w:t>e</w:t>
      </w:r>
      <w:r>
        <w:rPr>
          <w:rFonts w:ascii="Cambria" w:hAnsi="Cambria"/>
          <w:lang w:val="fr-FR"/>
        </w:rPr>
        <w:t xml:space="preserve"> (</w:t>
      </w:r>
      <w:r>
        <w:rPr>
          <w:rFonts w:ascii="Cambria" w:hAnsi="Cambria"/>
          <w:u w:val="thick"/>
          <w:lang w:val="fr-FR"/>
        </w:rPr>
        <w:t xml:space="preserve">dépend du </w:t>
      </w:r>
      <w:r>
        <w:rPr>
          <w:rStyle w:val="style18"/>
          <w:rFonts w:ascii="Cambria" w:hAnsi="Cambria"/>
          <w:u w:val="thick"/>
          <w:lang w:val="fr-FR"/>
        </w:rPr>
        <w:footnoteReference w:id="2"/>
      </w:r>
      <w:r>
        <w:rPr>
          <w:rFonts w:ascii="Cambria" w:hAnsi="Cambria"/>
          <w:lang w:val="fr-FR"/>
        </w:rPr>
        <w:t xml:space="preserve">contexte), </w:t>
      </w:r>
      <w:r>
        <w:rPr>
          <w:rFonts w:ascii="Cambria" w:hAnsi="Cambria"/>
          <w:u w:val="thick"/>
          <w:lang w:val="fr-FR"/>
        </w:rPr>
        <w:t xml:space="preserve">le même </w:t>
      </w:r>
      <w:r>
        <w:rPr>
          <w:rStyle w:val="style18"/>
          <w:rFonts w:ascii="Cambria" w:hAnsi="Cambria"/>
          <w:u w:val="single"/>
          <w:lang w:val="fr-FR"/>
        </w:rPr>
        <w:footnoteReference w:id="3"/>
      </w:r>
      <w:r>
        <w:rPr>
          <w:rFonts w:ascii="Cambria" w:hAnsi="Cambria"/>
          <w:lang w:val="fr-FR"/>
        </w:rPr>
        <w:t>avec "l'univers est infini", "En Argentine</w:t>
      </w:r>
      <w:r>
        <w:rPr>
          <w:rFonts w:ascii="Cambria" w:hAnsi="Cambria"/>
          <w:color w:val="FFCC00"/>
          <w:lang w:val="fr-FR"/>
        </w:rPr>
        <w:t>,</w:t>
      </w:r>
      <w:r>
        <w:rPr>
          <w:rFonts w:ascii="Cambria" w:hAnsi="Cambria"/>
          <w:lang w:val="fr-FR"/>
        </w:rPr>
        <w:t xml:space="preserve"> on parle espagnol", etcetera.</w:t>
      </w:r>
    </w:p>
    <w:p>
      <w:pPr>
        <w:pStyle w:val="style0"/>
        <w:numPr>
          <w:ilvl w:val="0"/>
          <w:numId w:val="1"/>
        </w:numPr>
        <w:spacing w:after="0" w:before="120"/>
        <w:contextualSpacing w:val="false"/>
        <w:rPr>
          <w:rFonts w:ascii="Cambria" w:hAnsi="Cambria"/>
          <w:lang w:val="fr-FR"/>
        </w:rPr>
      </w:pPr>
      <w:r>
        <w:rPr>
          <w:rFonts w:ascii="Cambria" w:hAnsi="Cambria"/>
          <w:lang w:val="fr-FR"/>
        </w:rPr>
        <w:t>Donnez des exemples des autres types de phrases que les grammairiens distinguent.</w:t>
        <w:br/>
        <w:t xml:space="preserve">Les grammairiens considèrent qu'il y a des phrases que ne sont pas d'affirmations dans le sens que supposaient les philosophes, mais aussi d'exclamations ("C'est un beau jour!") ou questions ("Qu'est-ce que tu penses de ça?"), souhaits ("j'aimerais être chanteuse"), ou </w:t>
      </w:r>
      <w:r>
        <w:rPr>
          <w:rFonts w:ascii="Cambria" w:hAnsi="Cambria"/>
          <w:color w:val="FFCC00"/>
          <w:sz w:val="24"/>
          <w:szCs w:val="24"/>
          <w:lang w:eastAsia="es-ES" w:val="fr-FR"/>
        </w:rPr>
        <w:t>des</w:t>
      </w:r>
      <w:r>
        <w:rPr>
          <w:rFonts w:ascii="Cambria" w:hAnsi="Cambria"/>
          <w:lang w:val="fr-FR"/>
        </w:rPr>
        <w:t xml:space="preserve"> </w:t>
      </w:r>
      <w:r>
        <w:rPr>
          <w:rFonts w:ascii="Cambria" w:hAnsi="Cambria"/>
          <w:lang w:val="fr-FR"/>
        </w:rPr>
        <w:t>phrases qui expriment des commandements ("Pourrez-vous fermer la porte?").</w:t>
      </w:r>
    </w:p>
    <w:p>
      <w:pPr>
        <w:pStyle w:val="style0"/>
        <w:numPr>
          <w:ilvl w:val="0"/>
          <w:numId w:val="1"/>
        </w:numPr>
        <w:spacing w:after="0" w:before="120"/>
        <w:contextualSpacing w:val="false"/>
        <w:rPr>
          <w:rFonts w:ascii="Cambria" w:hAnsi="Cambria"/>
          <w:lang w:val="fr-FR"/>
        </w:rPr>
      </w:pPr>
      <w:r>
        <w:rPr>
          <w:rFonts w:ascii="Cambria" w:hAnsi="Cambria"/>
          <w:lang w:val="fr-FR"/>
        </w:rPr>
        <w:t>Pourquoi disait-on que beaucoup d’affirmations étaient des non-sens ? Expliquez pourquoi des phrases telles que « Il rit jaune. » seraient des non-sens.</w:t>
        <w:br/>
        <w:t xml:space="preserve">On disait que beaucoup d'affirmations étaient des non-sens parce que les philosophes </w:t>
      </w:r>
      <w:r>
        <w:rPr>
          <w:rFonts w:ascii="Cambria" w:hAnsi="Cambria"/>
          <w:u w:val="thick"/>
          <w:lang w:val="fr-FR"/>
        </w:rPr>
        <w:t>pensent</w:t>
      </w:r>
      <w:r>
        <w:rPr>
          <w:rStyle w:val="style18"/>
          <w:rFonts w:ascii="Cambria" w:hAnsi="Cambria"/>
          <w:u w:val="thick"/>
          <w:lang w:val="fr-FR"/>
        </w:rPr>
        <w:footnoteReference w:id="4"/>
      </w:r>
      <w:r>
        <w:rPr>
          <w:rFonts w:ascii="Cambria" w:hAnsi="Cambria"/>
          <w:lang w:val="fr-FR"/>
        </w:rPr>
        <w:t xml:space="preserve"> que les affirmations doivent aussi être vérifiables. </w:t>
      </w:r>
      <w:r>
        <w:rPr>
          <w:rFonts w:ascii="Cambria" w:hAnsi="Cambria"/>
          <w:sz w:val="24"/>
          <w:szCs w:val="24"/>
          <w:u w:val="thick"/>
          <w:lang w:eastAsia="es-ES" w:val="fr-FR"/>
        </w:rPr>
        <w:t>Alors</w:t>
      </w:r>
      <w:r>
        <w:rPr>
          <w:rStyle w:val="style18"/>
          <w:rFonts w:ascii="Cambria" w:hAnsi="Cambria"/>
          <w:sz w:val="24"/>
          <w:szCs w:val="24"/>
          <w:u w:val="thick"/>
          <w:lang w:eastAsia="es-ES" w:val="fr-FR"/>
        </w:rPr>
        <w:footnoteReference w:id="5"/>
      </w:r>
      <w:r>
        <w:rPr>
          <w:rFonts w:ascii="Cambria" w:hAnsi="Cambria"/>
          <w:lang w:val="fr-FR"/>
        </w:rPr>
        <w:t xml:space="preserve">, on découvrait que beaucoup de phrases qu'on utilise dans la vie quotidienne devraient être -selon les philosophes- de non-sens, tandis que pour nous elles avaient du sens. </w:t>
        <w:br/>
        <w:t>Le phrase "il rit jaune" serait un non-sens parce que la rire n'a pas du couleur, car on ne la "voit" pas. Un rire peut-être fort, contagieuse, mais pas "jeune". Cependant, on utilise cet</w:t>
      </w:r>
      <w:r>
        <w:rPr>
          <w:rFonts w:ascii="Cambria" w:hAnsi="Cambria"/>
          <w:color w:val="FFCC00"/>
          <w:lang w:val="fr-FR"/>
        </w:rPr>
        <w:t>te</w:t>
      </w:r>
      <w:r>
        <w:rPr>
          <w:rFonts w:ascii="Cambria" w:hAnsi="Cambria"/>
          <w:lang w:val="fr-FR"/>
        </w:rPr>
        <w:t xml:space="preserve"> expression pour signaler un rire “malsain", et dans la société c'est accepté.</w:t>
      </w:r>
    </w:p>
    <w:p>
      <w:pPr>
        <w:pStyle w:val="style0"/>
        <w:numPr>
          <w:ilvl w:val="0"/>
          <w:numId w:val="1"/>
        </w:numPr>
        <w:spacing w:after="0" w:before="120"/>
        <w:contextualSpacing w:val="false"/>
        <w:rPr>
          <w:rFonts w:ascii="Cambria" w:hAnsi="Cambria"/>
          <w:lang w:val="fr-FR"/>
        </w:rPr>
      </w:pPr>
      <w:r>
        <w:rPr>
          <w:rFonts w:ascii="Cambria" w:hAnsi="Cambria"/>
          <w:lang w:val="fr-FR"/>
        </w:rPr>
        <w:t>Expliquez quelle action réalise-t-on en prononçant chacune des phrases suivantes :</w:t>
      </w:r>
    </w:p>
    <w:p>
      <w:pPr>
        <w:pStyle w:val="style0"/>
        <w:numPr>
          <w:ilvl w:val="1"/>
          <w:numId w:val="1"/>
        </w:numPr>
        <w:spacing w:after="0" w:before="120"/>
        <w:contextualSpacing w:val="false"/>
        <w:rPr>
          <w:rFonts w:ascii="Cambria" w:hAnsi="Cambria"/>
          <w:lang w:val="fr-FR"/>
        </w:rPr>
      </w:pPr>
      <w:r>
        <w:rPr>
          <w:rFonts w:ascii="Cambria" w:hAnsi="Cambria"/>
          <w:lang w:val="fr-FR"/>
        </w:rPr>
        <w:t xml:space="preserve">Je vous parie un kilo de glace que Gimnasia sera champion. </w:t>
        <w:br/>
        <w:t>Un pari</w:t>
      </w:r>
    </w:p>
    <w:p>
      <w:pPr>
        <w:pStyle w:val="style0"/>
        <w:numPr>
          <w:ilvl w:val="1"/>
          <w:numId w:val="1"/>
        </w:numPr>
        <w:spacing w:after="0" w:before="120"/>
        <w:contextualSpacing w:val="false"/>
        <w:rPr>
          <w:rFonts w:ascii="Cambria" w:hAnsi="Cambria"/>
          <w:lang w:val="fr-FR"/>
        </w:rPr>
      </w:pPr>
      <w:r>
        <w:rPr>
          <w:rFonts w:ascii="Cambria" w:hAnsi="Cambria"/>
          <w:lang w:val="fr-FR"/>
        </w:rPr>
        <w:t>Je m’excuse de te déranger.</w:t>
        <w:br/>
        <w:t>Une excuse</w:t>
      </w:r>
    </w:p>
    <w:p>
      <w:pPr>
        <w:pStyle w:val="style0"/>
        <w:numPr>
          <w:ilvl w:val="1"/>
          <w:numId w:val="1"/>
        </w:numPr>
        <w:spacing w:after="0" w:before="120"/>
        <w:contextualSpacing w:val="false"/>
        <w:rPr>
          <w:rFonts w:ascii="Cambria" w:hAnsi="Cambria"/>
          <w:lang w:val="fr-FR"/>
        </w:rPr>
      </w:pPr>
      <w:r>
        <w:rPr>
          <w:rFonts w:ascii="Cambria" w:hAnsi="Cambria"/>
          <w:lang w:val="fr-FR"/>
        </w:rPr>
        <w:t>J’accuse M. X d’avoir détourné de l’argent public…</w:t>
        <w:br/>
        <w:t>Une déclaration</w:t>
      </w:r>
    </w:p>
    <w:p>
      <w:pPr>
        <w:pStyle w:val="style0"/>
        <w:numPr>
          <w:ilvl w:val="1"/>
          <w:numId w:val="1"/>
        </w:numPr>
        <w:spacing w:after="0" w:before="120"/>
        <w:contextualSpacing w:val="false"/>
        <w:rPr>
          <w:rFonts w:ascii="Cambria" w:hAnsi="Cambria"/>
          <w:lang w:val="fr-FR"/>
        </w:rPr>
      </w:pPr>
      <w:r>
        <w:rPr>
          <w:rFonts w:ascii="Cambria" w:hAnsi="Cambria"/>
          <w:lang w:val="fr-FR"/>
        </w:rPr>
        <w:t>Je vous remercie de votre attention.</w:t>
        <w:br/>
        <w:t>Un remerciement</w:t>
      </w:r>
    </w:p>
    <w:p>
      <w:pPr>
        <w:pStyle w:val="style0"/>
        <w:numPr>
          <w:ilvl w:val="1"/>
          <w:numId w:val="1"/>
        </w:numPr>
        <w:spacing w:after="0" w:before="120"/>
        <w:contextualSpacing w:val="false"/>
        <w:rPr>
          <w:rFonts w:ascii="Cambria" w:hAnsi="Cambria"/>
          <w:color w:val="00CCFF"/>
          <w:lang w:val="fr-FR"/>
        </w:rPr>
      </w:pPr>
      <w:r>
        <w:rPr>
          <w:rFonts w:ascii="Cambria" w:hAnsi="Cambria"/>
          <w:lang w:val="fr-FR"/>
        </w:rPr>
        <w:t>Ce tribunal vous déclare innocent.</w:t>
        <w:br/>
        <w:t xml:space="preserve">Une déclaration </w:t>
      </w:r>
      <w:r>
        <w:rPr>
          <w:rFonts w:ascii="Cambria" w:hAnsi="Cambria"/>
          <w:color w:val="00CCFF"/>
          <w:lang w:val="fr-FR"/>
        </w:rPr>
        <w:t xml:space="preserve">/ </w:t>
      </w:r>
      <w:r>
        <w:rPr>
          <w:rFonts w:ascii="Cambria" w:hAnsi="Cambria"/>
          <w:color w:val="00CCFF"/>
          <w:lang w:val="fr-FR"/>
        </w:rPr>
        <w:t>une absolution aussi</w:t>
      </w:r>
    </w:p>
    <w:p>
      <w:pPr>
        <w:pStyle w:val="style0"/>
        <w:spacing w:after="0" w:before="120"/>
        <w:contextualSpacing w:val="false"/>
        <w:rPr>
          <w:rFonts w:ascii="Cambria" w:hAnsi="Cambria"/>
          <w:lang w:val="fr-FR"/>
        </w:rPr>
      </w:pPr>
      <w:r>
        <w:rPr>
          <w:rFonts w:ascii="Cambria" w:hAnsi="Cambria"/>
          <w:lang w:val="fr-FR"/>
        </w:rPr>
      </w:r>
    </w:p>
    <w:p>
      <w:pPr>
        <w:pStyle w:val="style0"/>
        <w:numPr>
          <w:ilvl w:val="0"/>
          <w:numId w:val="2"/>
        </w:numPr>
        <w:spacing w:after="0" w:before="120"/>
        <w:contextualSpacing w:val="false"/>
        <w:rPr>
          <w:rFonts w:ascii="Cambria" w:hAnsi="Cambria"/>
          <w:lang w:val="fr-FR"/>
        </w:rPr>
      </w:pPr>
      <w:r>
        <w:rPr>
          <w:rFonts w:ascii="Cambria" w:hAnsi="Cambria"/>
          <w:lang w:val="fr-FR"/>
        </w:rPr>
        <w:t>Comment Austin justifie-t-il l’emploi du terme ‘performatif’ ?</w:t>
        <w:br/>
        <w:t>Il le justifie quand il dit que le mot performatif est a</w:t>
      </w:r>
      <w:bookmarkStart w:id="0" w:name="_GoBack"/>
      <w:bookmarkEnd w:id="0"/>
      <w:r>
        <w:rPr>
          <w:rFonts w:ascii="Cambria" w:hAnsi="Cambria"/>
          <w:lang w:val="fr-FR"/>
        </w:rPr>
        <w:t>ssocié avec le substantif "action"; une phrase performative exécute une action. Par exemple, si quelqu'un dit: "je déclare la guerre", ce n'est pas une énonciation seulement, il fait aussi une action.</w:t>
      </w:r>
    </w:p>
    <w:p>
      <w:pPr>
        <w:pStyle w:val="style0"/>
        <w:numPr>
          <w:ilvl w:val="0"/>
          <w:numId w:val="2"/>
        </w:numPr>
        <w:spacing w:after="0" w:before="120"/>
        <w:contextualSpacing w:val="false"/>
        <w:rPr>
          <w:rFonts w:ascii="Cambria" w:hAnsi="Cambria"/>
          <w:lang w:val="fr-FR"/>
        </w:rPr>
      </w:pPr>
      <w:r>
        <w:rPr>
          <w:rFonts w:ascii="Cambria" w:hAnsi="Cambria"/>
          <w:lang w:val="fr-FR"/>
        </w:rPr>
        <w:t>Quelles sont les conditions de félicité des phrases (a) et (e) ?</w:t>
        <w:br/>
        <w:t xml:space="preserve">Les conditions de félicité pour la phrase (a) sont: que l’autre personne accepte le pari, </w:t>
      </w:r>
      <w:r>
        <w:rPr>
          <w:rFonts w:ascii="Cambria" w:hAnsi="Cambria"/>
          <w:strike/>
          <w:lang w:val="fr-FR"/>
        </w:rPr>
        <w:t>qu’il aille</w:t>
      </w:r>
      <w:r>
        <w:rPr>
          <w:rFonts w:ascii="Cambria" w:hAnsi="Cambria"/>
          <w:strike w:val="false"/>
          <w:dstrike w:val="false"/>
          <w:color w:val="00CCFF"/>
          <w:lang w:val="fr-FR"/>
        </w:rPr>
        <w:t xml:space="preserve">  </w:t>
      </w:r>
      <w:r>
        <w:rPr>
          <w:rFonts w:ascii="Cambria" w:hAnsi="Cambria"/>
          <w:strike w:val="false"/>
          <w:dstrike w:val="false"/>
          <w:color w:val="00CCFF"/>
          <w:lang w:val="fr-FR"/>
        </w:rPr>
        <w:t xml:space="preserve">qu'il y ait </w:t>
      </w:r>
      <w:r>
        <w:rPr>
          <w:rFonts w:ascii="Cambria" w:hAnsi="Cambria"/>
          <w:lang w:val="fr-FR"/>
        </w:rPr>
        <w:t>un match de football.</w:t>
        <w:br/>
        <w:t xml:space="preserve">Les conditions de félicité pour la phrase (b) sont : </w:t>
      </w:r>
      <w:r>
        <w:rPr>
          <w:rFonts w:ascii="Cambria" w:hAnsi="Cambria"/>
          <w:strike/>
          <w:lang w:val="fr-FR"/>
        </w:rPr>
        <w:t>qu’il aille</w:t>
      </w:r>
      <w:r>
        <w:rPr>
          <w:rFonts w:ascii="Cambria" w:hAnsi="Cambria"/>
          <w:strike w:val="false"/>
          <w:dstrike w:val="false"/>
          <w:color w:val="00CCFF"/>
          <w:lang w:val="fr-FR"/>
        </w:rPr>
        <w:t xml:space="preserve">  </w:t>
      </w:r>
      <w:r>
        <w:rPr>
          <w:rFonts w:ascii="Cambria" w:hAnsi="Cambria"/>
          <w:strike w:val="false"/>
          <w:dstrike w:val="false"/>
          <w:color w:val="00CCFF"/>
          <w:lang w:val="fr-FR"/>
        </w:rPr>
        <w:t>qu'il y ait</w:t>
      </w:r>
      <w:r>
        <w:rPr>
          <w:rFonts w:ascii="Cambria" w:hAnsi="Cambria"/>
          <w:lang w:val="fr-FR"/>
        </w:rPr>
        <w:t xml:space="preserve"> un accusé dans un tribunal, un procès, que la phrase soit prononcé</w:t>
      </w:r>
      <w:r>
        <w:rPr>
          <w:rFonts w:ascii="Cambria" w:hAnsi="Cambria"/>
          <w:color w:val="FFCC00"/>
          <w:lang w:val="fr-FR"/>
        </w:rPr>
        <w:t>e</w:t>
      </w:r>
      <w:r>
        <w:rPr>
          <w:rFonts w:ascii="Cambria" w:hAnsi="Cambria"/>
          <w:lang w:val="fr-FR"/>
        </w:rPr>
        <w:t xml:space="preserve"> pour un </w:t>
      </w:r>
      <w:r>
        <w:rPr>
          <w:rFonts w:ascii="Cambria" w:hAnsi="Cambria"/>
          <w:sz w:val="24"/>
          <w:szCs w:val="24"/>
          <w:u w:val="thick"/>
          <w:lang w:eastAsia="es-ES" w:val="fr-FR"/>
        </w:rPr>
        <w:t>juré</w:t>
      </w:r>
      <w:r>
        <w:rPr>
          <w:rStyle w:val="style18"/>
          <w:rFonts w:ascii="Cambria" w:hAnsi="Cambria"/>
          <w:sz w:val="24"/>
          <w:szCs w:val="24"/>
          <w:u w:val="thick"/>
          <w:lang w:eastAsia="es-ES" w:val="fr-FR"/>
        </w:rPr>
        <w:footnoteReference w:id="6"/>
      </w:r>
      <w:r>
        <w:rPr>
          <w:rFonts w:ascii="Cambria" w:hAnsi="Cambria"/>
          <w:lang w:val="fr-FR"/>
        </w:rPr>
        <w:t xml:space="preserve">, et que l’accusé comprend la phrase et après il soit libre.  </w:t>
      </w:r>
    </w:p>
    <w:p>
      <w:pPr>
        <w:pStyle w:val="style0"/>
        <w:numPr>
          <w:ilvl w:val="0"/>
          <w:numId w:val="2"/>
        </w:numPr>
        <w:spacing w:after="0" w:before="120"/>
        <w:contextualSpacing w:val="false"/>
        <w:rPr>
          <w:rFonts w:ascii="Cambria" w:hAnsi="Cambria"/>
          <w:lang w:val="fr-FR"/>
        </w:rPr>
      </w:pPr>
      <w:r>
        <w:rPr>
          <w:rFonts w:ascii="Cambria" w:hAnsi="Cambria"/>
          <w:lang w:val="fr-FR"/>
        </w:rPr>
        <w:t>Si une énonciation ne satisfait pas des conditions de félicité, on en déduit qu’elle est fausse ? Pourquoi ?</w:t>
        <w:br/>
        <w:t>Si une énonciation ne satisfait pas des conditions de félicité on ne dit pas qu'elle est fausse, mais plutôt qu'elle est nulle et non avenue, ou donnée de mauvaise foi. Par exemple, une promesse, on ne peut pas dire qu'elle est fausse, car il y a une intention de la personne quand elle promet.</w:t>
      </w:r>
    </w:p>
    <w:p>
      <w:pPr>
        <w:pStyle w:val="style0"/>
        <w:rPr/>
      </w:pPr>
      <w:r>
        <w:rPr/>
      </w:r>
    </w:p>
    <w:sectPr>
      <w:headerReference r:id="rId2" w:type="default"/>
      <w:footnotePr>
        <w:numFmt w:val="decimal"/>
      </w:footnotePr>
      <w:type w:val="nextPage"/>
      <w:pgSz w:h="16838" w:w="11906"/>
      <w:pgMar w:bottom="1417" w:footer="0" w:gutter="0" w:header="708" w:left="1701" w:right="1701" w:top="1417"/>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Arial">
    <w:charset w:val="01"/>
    <w:family w:val="swiss"/>
    <w:pitch w:val="variable"/>
  </w:font>
  <w:font w:name="Cambria">
    <w:charset w:val="01"/>
    <w:family w:val="roman"/>
    <w:pitch w:val="variable"/>
  </w:font>
  <w:font w:name="Bookman Old Style">
    <w:charset w:val="01"/>
    <w:family w:val="roman"/>
    <w:pitch w:val="variable"/>
  </w:font>
</w:fonts>
</file>

<file path=word/footnotes.xml><?xml version="1.0" encoding="utf-8"?>
<w:footnotes xmlns:r="http://schemas.openxmlformats.org/officeDocument/2006/relationships" xmlns:w="http://schemas.openxmlformats.org/wordprocessingml/2006/main">
  <w:footnote w:id="0" w:type="separator">
    <w:p>
      <w:r>
        <w:separator/>
      </w:r>
    </w:p>
  </w:footnote>
  <w:footnote w:id="1" w:type="continuationSeparator">
    <w:p>
      <w:r>
        <w:continuationSeparator/>
      </w:r>
    </w:p>
  </w:footnote>
  <w:footnote w:id="2">
    <w:p>
      <w:pPr>
        <w:pStyle w:val="style28"/>
        <w:rPr/>
      </w:pPr>
      <w:r>
        <w:rPr/>
        <w:footnoteRef/>
        <w:tab/>
        <w:t>Selon le contexte</w:t>
      </w:r>
    </w:p>
  </w:footnote>
  <w:footnote w:id="3">
    <w:p>
      <w:pPr>
        <w:pStyle w:val="style28"/>
        <w:rPr/>
      </w:pPr>
      <w:r>
        <w:rPr/>
        <w:footnoteRef/>
        <w:tab/>
        <w:t xml:space="preserve"> “</w:t>
      </w:r>
      <w:r>
        <w:rPr/>
        <w:t>...</w:t>
      </w:r>
      <w:r>
        <w:rPr/>
        <w:t xml:space="preserve"> La même chose arrive avec...” (le contexte est plutôt formel, et les phrases doivent être très claires).</w:t>
      </w:r>
    </w:p>
  </w:footnote>
  <w:footnote w:id="4">
    <w:p>
      <w:pPr>
        <w:pStyle w:val="style28"/>
        <w:rPr/>
      </w:pPr>
      <w:r>
        <w:rPr/>
        <w:footnoteRef/>
        <w:tab/>
        <w:t xml:space="preserve"> </w:t>
      </w:r>
      <w:r>
        <w:rPr/>
        <w:t>Les philosophes de l'époque pensaient...</w:t>
      </w:r>
    </w:p>
  </w:footnote>
  <w:footnote w:id="5">
    <w:p>
      <w:pPr>
        <w:pStyle w:val="style28"/>
        <w:rPr/>
      </w:pPr>
      <w:r>
        <w:rPr/>
        <w:footnoteRef/>
        <w:tab/>
        <w:t xml:space="preserve"> “</w:t>
      </w:r>
      <w:r>
        <w:rPr/>
        <w:t xml:space="preserve">Pourtant”, “Or”,... </w:t>
      </w:r>
    </w:p>
  </w:footnote>
  <w:footnote w:id="6">
    <w:p>
      <w:pPr>
        <w:pStyle w:val="style28"/>
        <w:rPr/>
      </w:pPr>
      <w:r>
        <w:rPr/>
        <w:footnoteRef/>
        <w:tab/>
        <w:t>“</w:t>
      </w:r>
      <w:r>
        <w:rPr/>
        <w:t>membre du jury” ou bien par un “juge”.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rPr>
        <w:rStyle w:val="style16"/>
        <w:rFonts w:ascii="Bookman Old Style" w:hAnsi="Bookman Old Style"/>
        <w:sz w:val="20"/>
        <w:szCs w:val="20"/>
        <w:lang w:val="es-AR"/>
      </w:rPr>
    </w:pPr>
    <w:r>
      <w:rPr>
        <w:rFonts w:ascii="Bookman Old Style" w:hAnsi="Bookman Old Style"/>
        <w:i/>
        <w:sz w:val="20"/>
        <w:szCs w:val="20"/>
        <w:lang w:val="es-AR"/>
      </w:rPr>
      <w:t>Langue Française 1</w:t>
    </w:r>
    <w:r>
      <w:rPr>
        <w:rFonts w:ascii="Bookman Old Style" w:hAnsi="Bookman Old Style"/>
        <w:sz w:val="20"/>
        <w:szCs w:val="20"/>
        <w:lang w:val="es-AR"/>
      </w:rPr>
      <w:t xml:space="preserve"> </w:t>
      <w:tab/>
      <w:t>John Austin (1965)</w:t>
      <w:tab/>
    </w:r>
    <w:r>
      <w:rPr>
        <w:rStyle w:val="style16"/>
        <w:rFonts w:ascii="Bookman Old Style" w:hAnsi="Bookman Old Style"/>
        <w:sz w:val="20"/>
        <w:szCs w:val="20"/>
        <w:lang w:val="es-AR"/>
      </w:rPr>
      <w:fldChar w:fldCharType="begin"/>
    </w:r>
    <w:r>
      <w:instrText> PAGE </w:instrText>
    </w:r>
    <w:r>
      <w:fldChar w:fldCharType="separate"/>
    </w:r>
    <w:r>
      <w:t>2</w:t>
    </w:r>
    <w:r>
      <w:fldChar w:fldCharType="end"/>
    </w:r>
  </w:p>
</w:hdr>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lowerRoman"/>
      <w:lvlText w:val="%3."/>
      <w:lvlJc w:val="right"/>
      <w:pPr>
        <w:tabs>
          <w:tab w:pos="2160" w:val="num"/>
        </w:tabs>
        <w:ind w:hanging="180" w:left="2160"/>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18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0" w:val="num"/>
        </w:tabs>
        <w:ind w:hanging="180" w:left="6480"/>
      </w:pPr>
    </w:lvl>
  </w:abstractNum>
  <w:abstractNum w:abstractNumId="2">
    <w:lvl w:ilvl="0">
      <w:start w:val="5"/>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lowerRoman"/>
      <w:lvlText w:val="%3."/>
      <w:lvlJc w:val="right"/>
      <w:pPr>
        <w:tabs>
          <w:tab w:pos="2160" w:val="num"/>
        </w:tabs>
        <w:ind w:hanging="180" w:left="2160"/>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18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0" w:val="num"/>
        </w:tabs>
        <w:ind w:hanging="180" w:left="6480"/>
      </w:p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w:style w:styleId="style0" w:type="paragraph">
    <w:name w:val="Normal"/>
    <w:next w:val="style0"/>
    <w:pPr>
      <w:widowControl/>
      <w:suppressAutoHyphens w:val="true"/>
    </w:pPr>
    <w:rPr>
      <w:rFonts w:ascii="Times New Roman" w:cs="Times New Roman" w:eastAsia="Times New Roman" w:hAnsi="Times New Roman"/>
      <w:color w:val="auto"/>
      <w:sz w:val="24"/>
      <w:szCs w:val="24"/>
      <w:lang w:bidi="ar-SA" w:eastAsia="es-ES" w:val="es-ES"/>
    </w:rPr>
  </w:style>
  <w:style w:styleId="style15" w:type="character">
    <w:name w:val="Default Paragraph Font"/>
    <w:next w:val="style15"/>
    <w:rPr/>
  </w:style>
  <w:style w:styleId="style16" w:type="character">
    <w:name w:val="page number"/>
    <w:basedOn w:val="style15"/>
    <w:next w:val="style16"/>
    <w:rPr/>
  </w:style>
  <w:style w:styleId="style17" w:type="character">
    <w:name w:val="Footnote Characters"/>
    <w:next w:val="style17"/>
    <w:rPr/>
  </w:style>
  <w:style w:styleId="style18" w:type="character">
    <w:name w:val="Footnote Anchor"/>
    <w:next w:val="style18"/>
    <w:rPr>
      <w:vertAlign w:val="superscript"/>
    </w:rPr>
  </w:style>
  <w:style w:styleId="style19" w:type="character">
    <w:name w:val="Endnote Anchor"/>
    <w:next w:val="style19"/>
    <w:rPr>
      <w:vertAlign w:val="superscript"/>
    </w:rPr>
  </w:style>
  <w:style w:styleId="style20" w:type="character">
    <w:name w:val="Endnote Characters"/>
    <w:next w:val="style20"/>
    <w:rPr/>
  </w:style>
  <w:style w:styleId="style21" w:type="paragraph">
    <w:name w:val="Heading"/>
    <w:basedOn w:val="style0"/>
    <w:next w:val="style22"/>
    <w:pPr>
      <w:keepNext/>
      <w:spacing w:after="120" w:before="240"/>
      <w:contextualSpacing w:val="false"/>
    </w:pPr>
    <w:rPr>
      <w:rFonts w:ascii="Arial" w:cs="Lohit Hindi" w:eastAsia="DejaVu Sans"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cs="Lohit Hindi"/>
    </w:rPr>
  </w:style>
  <w:style w:styleId="style24" w:type="paragraph">
    <w:name w:val="Caption"/>
    <w:basedOn w:val="style0"/>
    <w:next w:val="style24"/>
    <w:pPr>
      <w:suppressLineNumbers/>
      <w:spacing w:after="120" w:before="120"/>
      <w:contextualSpacing w:val="false"/>
    </w:pPr>
    <w:rPr>
      <w:rFonts w:cs="Lohit Hindi"/>
      <w:i/>
      <w:iCs/>
      <w:sz w:val="24"/>
      <w:szCs w:val="24"/>
    </w:rPr>
  </w:style>
  <w:style w:styleId="style25" w:type="paragraph">
    <w:name w:val="Index"/>
    <w:basedOn w:val="style0"/>
    <w:next w:val="style25"/>
    <w:pPr>
      <w:suppressLineNumbers/>
    </w:pPr>
    <w:rPr>
      <w:rFonts w:cs="Lohit Hindi"/>
    </w:rPr>
  </w:style>
  <w:style w:styleId="style26" w:type="paragraph">
    <w:name w:val="Header"/>
    <w:basedOn w:val="style0"/>
    <w:next w:val="style26"/>
    <w:pPr>
      <w:tabs>
        <w:tab w:leader="none" w:pos="4252" w:val="center"/>
        <w:tab w:leader="none" w:pos="8504" w:val="right"/>
      </w:tabs>
    </w:pPr>
    <w:rPr/>
  </w:style>
  <w:style w:styleId="style27" w:type="paragraph">
    <w:name w:val="Footer"/>
    <w:basedOn w:val="style0"/>
    <w:next w:val="style27"/>
    <w:pPr>
      <w:tabs>
        <w:tab w:leader="none" w:pos="4252" w:val="center"/>
        <w:tab w:leader="none" w:pos="8504" w:val="right"/>
      </w:tabs>
    </w:pPr>
    <w:rPr/>
  </w:style>
  <w:style w:styleId="style28" w:type="paragraph">
    <w:name w:val="Footnote"/>
    <w:basedOn w:val="style0"/>
    <w:next w:val="style28"/>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298</TotalTime>
  <Application>LibreOffice/4.1.3.2$Linux_X86_64 LibreOffice_project/410m0$Build-2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2017-04-07T19:23:00Z</dcterms:created>
  <dc:creator>Primera AIO</dc:creator>
  <cp:lastModifiedBy>daniela moreno</cp:lastModifiedBy>
  <dcterms:modified xsi:type="dcterms:W3CDTF">2017-04-14T18:14:00Z</dcterms:modified>
  <cp:revision>8</cp:revision>
  <dc:title>Questionnaire Austin</dc:title>
</cp:coreProperties>
</file>