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40" w:rsidRDefault="00604640" w:rsidP="00604640">
      <w:pPr>
        <w:spacing w:after="0" w:line="240" w:lineRule="auto"/>
        <w:jc w:val="right"/>
        <w:rPr>
          <w:rFonts w:ascii="Times New Roman" w:eastAsia="Times New Roman" w:hAnsi="Times New Roman" w:cs="Times New Roman"/>
          <w:color w:val="0000FF"/>
          <w:sz w:val="24"/>
          <w:szCs w:val="24"/>
          <w:u w:val="single"/>
          <w:lang w:val="fr-FR" w:eastAsia="es-ES"/>
        </w:rPr>
      </w:pPr>
      <w:r w:rsidRPr="006D5058">
        <w:rPr>
          <w:rFonts w:ascii="Times New Roman" w:eastAsia="Times New Roman" w:hAnsi="Times New Roman" w:cs="Times New Roman"/>
          <w:b/>
          <w:bCs/>
          <w:sz w:val="24"/>
          <w:szCs w:val="24"/>
          <w:lang w:val="fr-FR" w:eastAsia="es-ES"/>
        </w:rPr>
        <w:t xml:space="preserve">Ruth </w:t>
      </w:r>
      <w:proofErr w:type="spellStart"/>
      <w:r w:rsidRPr="006D5058">
        <w:rPr>
          <w:rFonts w:ascii="Times New Roman" w:eastAsia="Times New Roman" w:hAnsi="Times New Roman" w:cs="Times New Roman"/>
          <w:b/>
          <w:bCs/>
          <w:sz w:val="24"/>
          <w:szCs w:val="24"/>
          <w:lang w:val="fr-FR" w:eastAsia="es-ES"/>
        </w:rPr>
        <w:t>Amossy</w:t>
      </w:r>
      <w:proofErr w:type="spellEnd"/>
      <w:r w:rsidRPr="006D5058">
        <w:rPr>
          <w:rFonts w:ascii="Times New Roman" w:eastAsia="Times New Roman" w:hAnsi="Times New Roman" w:cs="Times New Roman"/>
          <w:b/>
          <w:bCs/>
          <w:sz w:val="24"/>
          <w:szCs w:val="24"/>
          <w:lang w:val="fr-FR" w:eastAsia="es-ES"/>
        </w:rPr>
        <w:t xml:space="preserve"> et Roselyne </w:t>
      </w:r>
      <w:proofErr w:type="spellStart"/>
      <w:r w:rsidRPr="006D5058">
        <w:rPr>
          <w:rFonts w:ascii="Times New Roman" w:eastAsia="Times New Roman" w:hAnsi="Times New Roman" w:cs="Times New Roman"/>
          <w:b/>
          <w:bCs/>
          <w:sz w:val="24"/>
          <w:szCs w:val="24"/>
          <w:lang w:val="fr-FR" w:eastAsia="es-ES"/>
        </w:rPr>
        <w:t>Koren</w:t>
      </w:r>
      <w:proofErr w:type="spellEnd"/>
      <w:r w:rsidRPr="006D5058">
        <w:rPr>
          <w:rFonts w:ascii="Times New Roman" w:eastAsia="Times New Roman" w:hAnsi="Times New Roman" w:cs="Times New Roman"/>
          <w:sz w:val="24"/>
          <w:szCs w:val="24"/>
          <w:lang w:val="fr-FR" w:eastAsia="es-ES"/>
        </w:rPr>
        <w:t>,</w:t>
      </w:r>
    </w:p>
    <w:p w:rsidR="00604640" w:rsidRDefault="00604640" w:rsidP="00604640">
      <w:pPr>
        <w:spacing w:after="0" w:line="240" w:lineRule="auto"/>
        <w:jc w:val="both"/>
        <w:rPr>
          <w:rFonts w:ascii="Times New Roman" w:eastAsia="Times New Roman" w:hAnsi="Times New Roman" w:cs="Times New Roman"/>
          <w:color w:val="0000FF"/>
          <w:sz w:val="24"/>
          <w:szCs w:val="24"/>
          <w:u w:val="single"/>
          <w:lang w:val="fr-FR" w:eastAsia="es-ES"/>
        </w:rPr>
      </w:pPr>
    </w:p>
    <w:p w:rsidR="006D5058" w:rsidRPr="00604640" w:rsidRDefault="006D5058" w:rsidP="00604640">
      <w:pPr>
        <w:spacing w:after="0" w:line="240" w:lineRule="auto"/>
        <w:jc w:val="center"/>
        <w:rPr>
          <w:rFonts w:ascii="Times New Roman" w:eastAsia="Times New Roman" w:hAnsi="Times New Roman" w:cs="Times New Roman"/>
          <w:b/>
          <w:sz w:val="24"/>
          <w:szCs w:val="24"/>
          <w:lang w:val="fr-FR" w:eastAsia="es-ES"/>
        </w:rPr>
      </w:pPr>
      <w:r w:rsidRPr="00604640">
        <w:rPr>
          <w:rFonts w:ascii="Times New Roman" w:eastAsia="Times New Roman" w:hAnsi="Times New Roman" w:cs="Times New Roman"/>
          <w:b/>
          <w:sz w:val="24"/>
          <w:szCs w:val="24"/>
          <w:u w:val="single"/>
          <w:lang w:val="fr-FR" w:eastAsia="es-ES"/>
        </w:rPr>
        <w:t>17 | 2004 : Argumentation et prise de position : pratiques discursives</w:t>
      </w:r>
      <w:bookmarkStart w:id="0" w:name="_GoBack"/>
      <w:bookmarkEnd w:id="0"/>
    </w:p>
    <w:p w:rsid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Ce projet est né d’une interrogation sur les formes que revêt la relation entre l’inscription de la subjectivité dans le discours et la prise de position. Situé dans le prolongement de la linguistique de l’énonciation, et en particulier de l’ouvrage fondateur de Catherine </w:t>
      </w:r>
      <w:proofErr w:type="spellStart"/>
      <w:r w:rsidRPr="006D5058">
        <w:rPr>
          <w:rFonts w:ascii="Times New Roman" w:eastAsia="Times New Roman" w:hAnsi="Times New Roman" w:cs="Times New Roman"/>
          <w:sz w:val="24"/>
          <w:szCs w:val="24"/>
          <w:lang w:val="fr-FR" w:eastAsia="es-ES"/>
        </w:rPr>
        <w:t>Kerbrat</w:t>
      </w:r>
      <w:proofErr w:type="spellEnd"/>
      <w:r w:rsidRPr="006D5058">
        <w:rPr>
          <w:rFonts w:ascii="Times New Roman" w:eastAsia="Times New Roman" w:hAnsi="Times New Roman" w:cs="Times New Roman"/>
          <w:sz w:val="24"/>
          <w:szCs w:val="24"/>
          <w:lang w:val="fr-FR" w:eastAsia="es-ES"/>
        </w:rPr>
        <w:t>-</w:t>
      </w:r>
      <w:proofErr w:type="spellStart"/>
      <w:r w:rsidRPr="006D5058">
        <w:rPr>
          <w:rFonts w:ascii="Times New Roman" w:eastAsia="Times New Roman" w:hAnsi="Times New Roman" w:cs="Times New Roman"/>
          <w:sz w:val="24"/>
          <w:szCs w:val="24"/>
          <w:lang w:val="fr-FR" w:eastAsia="es-ES"/>
        </w:rPr>
        <w:t>Orecchioni</w:t>
      </w:r>
      <w:proofErr w:type="spellEnd"/>
      <w:r w:rsidRPr="006D5058">
        <w:rPr>
          <w:rFonts w:ascii="Times New Roman" w:eastAsia="Times New Roman" w:hAnsi="Times New Roman" w:cs="Times New Roman"/>
          <w:sz w:val="24"/>
          <w:szCs w:val="24"/>
          <w:lang w:val="fr-FR" w:eastAsia="es-ES"/>
        </w:rPr>
        <w:t xml:space="preserve"> sur la subjectivité dans le langage (1980), il reprend à son compte l’étude des traces évaluatives, axiologiques et affectives de la présence du locuteur. Il l’allie cependant étroitement à la question de la prise de position telle qu’elle se pose dans une perspective argumentative. Les acquis de Benveniste (1966, 1974) et de ses successeurs se trouvent ainsi </w:t>
      </w:r>
      <w:proofErr w:type="spellStart"/>
      <w:r w:rsidRPr="006D5058">
        <w:rPr>
          <w:rFonts w:ascii="Times New Roman" w:eastAsia="Times New Roman" w:hAnsi="Times New Roman" w:cs="Times New Roman"/>
          <w:sz w:val="24"/>
          <w:szCs w:val="24"/>
          <w:lang w:val="fr-FR" w:eastAsia="es-ES"/>
        </w:rPr>
        <w:t>réexploités</w:t>
      </w:r>
      <w:proofErr w:type="spellEnd"/>
      <w:r w:rsidRPr="006D5058">
        <w:rPr>
          <w:rFonts w:ascii="Times New Roman" w:eastAsia="Times New Roman" w:hAnsi="Times New Roman" w:cs="Times New Roman"/>
          <w:sz w:val="24"/>
          <w:szCs w:val="24"/>
          <w:lang w:val="fr-FR" w:eastAsia="es-ES"/>
        </w:rPr>
        <w:t xml:space="preserve"> dans le champ de l’argumentation, qui occupe une place de plus en plus considérable dans les sciences du langage.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2Ce numéro de </w:t>
      </w:r>
      <w:proofErr w:type="spellStart"/>
      <w:r w:rsidRPr="006D5058">
        <w:rPr>
          <w:rFonts w:ascii="Times New Roman" w:eastAsia="Times New Roman" w:hAnsi="Times New Roman" w:cs="Times New Roman"/>
          <w:i/>
          <w:iCs/>
          <w:sz w:val="24"/>
          <w:szCs w:val="24"/>
          <w:lang w:val="fr-FR" w:eastAsia="es-ES"/>
        </w:rPr>
        <w:t>Semen</w:t>
      </w:r>
      <w:proofErr w:type="spellEnd"/>
      <w:r w:rsidRPr="006D5058">
        <w:rPr>
          <w:rFonts w:ascii="Times New Roman" w:eastAsia="Times New Roman" w:hAnsi="Times New Roman" w:cs="Times New Roman"/>
          <w:sz w:val="24"/>
          <w:szCs w:val="24"/>
          <w:lang w:val="fr-FR" w:eastAsia="es-ES"/>
        </w:rPr>
        <w:t xml:space="preserve"> privilégie les pratiques discursives où le locuteur entend, pour des raisons diverses, se désinvestir </w:t>
      </w:r>
      <w:r w:rsidRPr="006D5058">
        <w:rPr>
          <w:rFonts w:ascii="Times New Roman" w:eastAsia="Times New Roman" w:hAnsi="Times New Roman" w:cs="Times New Roman"/>
          <w:i/>
          <w:iCs/>
          <w:sz w:val="24"/>
          <w:szCs w:val="24"/>
          <w:lang w:val="fr-FR" w:eastAsia="es-ES"/>
        </w:rPr>
        <w:t>en neutralisant ou en gommant autant que possible sa subjectivité</w:t>
      </w:r>
      <w:r w:rsidRPr="006D5058">
        <w:rPr>
          <w:rFonts w:ascii="Times New Roman" w:eastAsia="Times New Roman" w:hAnsi="Times New Roman" w:cs="Times New Roman"/>
          <w:sz w:val="24"/>
          <w:szCs w:val="24"/>
          <w:lang w:val="fr-FR" w:eastAsia="es-ES"/>
        </w:rPr>
        <w:t>. S’inspirant des études récemment effectuées sur l’effacement énonciatif (</w:t>
      </w:r>
      <w:r w:rsidRPr="006D5058">
        <w:rPr>
          <w:rFonts w:ascii="Times New Roman" w:eastAsia="Times New Roman" w:hAnsi="Times New Roman" w:cs="Times New Roman"/>
          <w:i/>
          <w:iCs/>
          <w:sz w:val="24"/>
          <w:szCs w:val="24"/>
          <w:lang w:val="fr-FR" w:eastAsia="es-ES"/>
        </w:rPr>
        <w:t>Langue Française</w:t>
      </w:r>
      <w:r w:rsidRPr="006D5058">
        <w:rPr>
          <w:rFonts w:ascii="Times New Roman" w:eastAsia="Times New Roman" w:hAnsi="Times New Roman" w:cs="Times New Roman"/>
          <w:sz w:val="24"/>
          <w:szCs w:val="24"/>
          <w:lang w:val="fr-FR" w:eastAsia="es-ES"/>
        </w:rPr>
        <w:t xml:space="preserve"> 128, 2000 ; </w:t>
      </w:r>
      <w:proofErr w:type="spellStart"/>
      <w:r w:rsidRPr="006D5058">
        <w:rPr>
          <w:rFonts w:ascii="Times New Roman" w:eastAsia="Times New Roman" w:hAnsi="Times New Roman" w:cs="Times New Roman"/>
          <w:sz w:val="24"/>
          <w:szCs w:val="24"/>
          <w:lang w:val="fr-FR" w:eastAsia="es-ES"/>
        </w:rPr>
        <w:t>Vion</w:t>
      </w:r>
      <w:proofErr w:type="spellEnd"/>
      <w:r w:rsidRPr="006D5058">
        <w:rPr>
          <w:rFonts w:ascii="Times New Roman" w:eastAsia="Times New Roman" w:hAnsi="Times New Roman" w:cs="Times New Roman"/>
          <w:sz w:val="24"/>
          <w:szCs w:val="24"/>
          <w:lang w:val="fr-FR" w:eastAsia="es-ES"/>
        </w:rPr>
        <w:t xml:space="preserve"> 2001, Philippe 2002 et </w:t>
      </w:r>
      <w:proofErr w:type="spellStart"/>
      <w:r w:rsidRPr="006D5058">
        <w:rPr>
          <w:rFonts w:ascii="Times New Roman" w:eastAsia="Times New Roman" w:hAnsi="Times New Roman" w:cs="Times New Roman"/>
          <w:sz w:val="24"/>
          <w:szCs w:val="24"/>
          <w:lang w:val="fr-FR" w:eastAsia="es-ES"/>
        </w:rPr>
        <w:t>Rabatel</w:t>
      </w:r>
      <w:proofErr w:type="spellEnd"/>
      <w:r w:rsidRPr="006D5058">
        <w:rPr>
          <w:rFonts w:ascii="Times New Roman" w:eastAsia="Times New Roman" w:hAnsi="Times New Roman" w:cs="Times New Roman"/>
          <w:sz w:val="24"/>
          <w:szCs w:val="24"/>
          <w:lang w:val="fr-FR" w:eastAsia="es-ES"/>
        </w:rPr>
        <w:t xml:space="preserve"> 2003), il explore les possibilités qu’offrent la langue et le discours de se dire ou de se situer en se masquant. Le lien établi entre la neutralisation de la subjectivité dans le discours et la capacité de celui-ci à prendre parti va à l’encontre du sentiment général selon lequel le jugement de valeur ou la prise de position éthique impliquent la présence affichée du sujet qui s’engage, si bien qu’on a souvent du mal à penser en termes de position une parole dénuée de toute trace du sujet parlant. S’il est vrai, cependant, que la subjectivité est inhérente à toute prise de parole, elle est nécessairement inscrite même dans les textes les plus « lisses » – article d’information, rapport, témoignage à visée de certification, etc. Dans cette perspective, on peut se demander par quelles voies verbales la subjectivité se manifeste dans des formes génériques et des pratiques discursives qui tendent à la neutraliser, et selon quelles modalités la prise de position trouve à s’y effectuer. Ces questions, qui appellent une exploration minutieuse des modalités langagières, sont loin d’être purement formelles : elles présentent, on le verra, des enjeux éthiques et sociaux importants.</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3 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4Et tout d’abord, qu’entend-on par prise de position ? Dans le sens courant, prendre position, c’est trancher ; c’est se prononcer sur une question permettant des réponses alternatives et s’engager explicitement en assumant le risque impliqué par son choix. Sans doute peut-on imaginer des choix affichés qui ne seraient pas argumentés : le sujet peut privilégier l’un ou l’autre parti sur un sujet controversé, ou dans une situation conflictuelle, sans en exposer les raisons – en apposant sa signature, par exemple, en votant, ou en faisant une déclaration à cet effet. Nous entendons cependant ici prise de position non comme une adhésion déclarée et non motivée, mais comme un élément constitutif de la parole argumentative qui déploie un raisonnement en vue de motiver la sélection d’une réponse à une question autorisant des réponses alternatives.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lastRenderedPageBreak/>
        <w:t xml:space="preserve">5Dans cette optique, la prise de position semble liée à une certaine conception de l’argumentation, celle qui voit dans la nécessité de décider la fin ultime des procédures argumentatives. Elle participe d’une définition </w:t>
      </w:r>
      <w:proofErr w:type="spellStart"/>
      <w:r w:rsidRPr="006D5058">
        <w:rPr>
          <w:rFonts w:ascii="Times New Roman" w:eastAsia="Times New Roman" w:hAnsi="Times New Roman" w:cs="Times New Roman"/>
          <w:sz w:val="24"/>
          <w:szCs w:val="24"/>
          <w:lang w:val="fr-FR" w:eastAsia="es-ES"/>
        </w:rPr>
        <w:t>perelmanienne</w:t>
      </w:r>
      <w:proofErr w:type="spellEnd"/>
      <w:r w:rsidRPr="006D5058">
        <w:rPr>
          <w:rFonts w:ascii="Times New Roman" w:eastAsia="Times New Roman" w:hAnsi="Times New Roman" w:cs="Times New Roman"/>
          <w:sz w:val="24"/>
          <w:szCs w:val="24"/>
          <w:lang w:val="fr-FR" w:eastAsia="es-ES"/>
        </w:rPr>
        <w:t xml:space="preserve"> de la rhétorique qui lie le discours à l’action et l’associe indissolublement à une logique des valeurs. Rappelons que </w:t>
      </w:r>
      <w:proofErr w:type="spellStart"/>
      <w:r w:rsidRPr="006D5058">
        <w:rPr>
          <w:rFonts w:ascii="Times New Roman" w:eastAsia="Times New Roman" w:hAnsi="Times New Roman" w:cs="Times New Roman"/>
          <w:sz w:val="24"/>
          <w:szCs w:val="24"/>
          <w:lang w:val="fr-FR" w:eastAsia="es-ES"/>
        </w:rPr>
        <w:t>Perelman</w:t>
      </w:r>
      <w:proofErr w:type="spellEnd"/>
      <w:r w:rsidRPr="006D5058">
        <w:rPr>
          <w:rFonts w:ascii="Times New Roman" w:eastAsia="Times New Roman" w:hAnsi="Times New Roman" w:cs="Times New Roman"/>
          <w:sz w:val="24"/>
          <w:szCs w:val="24"/>
          <w:lang w:val="fr-FR" w:eastAsia="es-ES"/>
        </w:rPr>
        <w:t xml:space="preserve"> et </w:t>
      </w:r>
      <w:proofErr w:type="spellStart"/>
      <w:r w:rsidRPr="006D5058">
        <w:rPr>
          <w:rFonts w:ascii="Times New Roman" w:eastAsia="Times New Roman" w:hAnsi="Times New Roman" w:cs="Times New Roman"/>
          <w:sz w:val="24"/>
          <w:szCs w:val="24"/>
          <w:lang w:val="fr-FR" w:eastAsia="es-ES"/>
        </w:rPr>
        <w:t>Olbrechts</w:t>
      </w:r>
      <w:proofErr w:type="spellEnd"/>
      <w:r w:rsidRPr="006D5058">
        <w:rPr>
          <w:rFonts w:ascii="Times New Roman" w:eastAsia="Times New Roman" w:hAnsi="Times New Roman" w:cs="Times New Roman"/>
          <w:sz w:val="24"/>
          <w:szCs w:val="24"/>
          <w:lang w:val="fr-FR" w:eastAsia="es-ES"/>
        </w:rPr>
        <w:t>-</w:t>
      </w:r>
      <w:proofErr w:type="spellStart"/>
      <w:r w:rsidRPr="006D5058">
        <w:rPr>
          <w:rFonts w:ascii="Times New Roman" w:eastAsia="Times New Roman" w:hAnsi="Times New Roman" w:cs="Times New Roman"/>
          <w:sz w:val="24"/>
          <w:szCs w:val="24"/>
          <w:lang w:val="fr-FR" w:eastAsia="es-ES"/>
        </w:rPr>
        <w:t>Tyteca</w:t>
      </w:r>
      <w:proofErr w:type="spellEnd"/>
      <w:r w:rsidRPr="006D5058">
        <w:rPr>
          <w:rFonts w:ascii="Times New Roman" w:eastAsia="Times New Roman" w:hAnsi="Times New Roman" w:cs="Times New Roman"/>
          <w:sz w:val="24"/>
          <w:szCs w:val="24"/>
          <w:lang w:val="fr-FR" w:eastAsia="es-ES"/>
        </w:rPr>
        <w:t xml:space="preserve"> voyaient dans la (nouvelle) rhétorique l’ensemble des moyens verbaux susceptibles de faire accepter à un auditoire la thèse que l’orateur présente à son assentiment (1970 : 5). La nécessité de faire admettre une thèse – à savoir de faire partager une position nette sur un problème donné – est le résultat d’une situation de controverse, ou tout au moins de divergences d’opinions plus ou moins affirmées. C’est dans cette même optique que Plantin ancre sa conception interactionnelle de l’argumentation dans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la divergence et la confrontation de points de vue. Une situation langagière donnée commence à devenir argumentative dès qu’un acte de langage n'est pas ratifié par l'allocutaire, ne serait-ce que de manière non verbale. Son degré d’</w:t>
      </w:r>
      <w:proofErr w:type="spellStart"/>
      <w:r w:rsidRPr="006D5058">
        <w:rPr>
          <w:rFonts w:ascii="Times New Roman" w:eastAsia="Times New Roman" w:hAnsi="Times New Roman" w:cs="Times New Roman"/>
          <w:sz w:val="24"/>
          <w:szCs w:val="24"/>
          <w:lang w:val="fr-FR" w:eastAsia="es-ES"/>
        </w:rPr>
        <w:t>argumentativité</w:t>
      </w:r>
      <w:proofErr w:type="spellEnd"/>
      <w:r w:rsidRPr="006D5058">
        <w:rPr>
          <w:rFonts w:ascii="Times New Roman" w:eastAsia="Times New Roman" w:hAnsi="Times New Roman" w:cs="Times New Roman"/>
          <w:sz w:val="24"/>
          <w:szCs w:val="24"/>
          <w:lang w:val="fr-FR" w:eastAsia="es-ES"/>
        </w:rPr>
        <w:t xml:space="preserve"> se renforce lorsqu’il y a apparition d’une suite non préférée,</w:t>
      </w:r>
      <w:r w:rsidR="00604640">
        <w:rPr>
          <w:rFonts w:ascii="Times New Roman" w:eastAsia="Times New Roman" w:hAnsi="Times New Roman" w:cs="Times New Roman"/>
          <w:sz w:val="24"/>
          <w:szCs w:val="24"/>
          <w:lang w:val="fr-FR" w:eastAsia="es-ES"/>
        </w:rPr>
        <w:t xml:space="preserve"> puis ratification et </w:t>
      </w:r>
      <w:proofErr w:type="spellStart"/>
      <w:r w:rsidR="00604640">
        <w:rPr>
          <w:rFonts w:ascii="Times New Roman" w:eastAsia="Times New Roman" w:hAnsi="Times New Roman" w:cs="Times New Roman"/>
          <w:sz w:val="24"/>
          <w:szCs w:val="24"/>
          <w:lang w:val="fr-FR" w:eastAsia="es-ES"/>
        </w:rPr>
        <w:t>thématisat</w:t>
      </w:r>
      <w:r w:rsidRPr="006D5058">
        <w:rPr>
          <w:rFonts w:ascii="Times New Roman" w:eastAsia="Times New Roman" w:hAnsi="Times New Roman" w:cs="Times New Roman"/>
          <w:sz w:val="24"/>
          <w:szCs w:val="24"/>
          <w:lang w:val="fr-FR" w:eastAsia="es-ES"/>
        </w:rPr>
        <w:t>ion</w:t>
      </w:r>
      <w:proofErr w:type="spellEnd"/>
      <w:r w:rsidRPr="006D5058">
        <w:rPr>
          <w:rFonts w:ascii="Times New Roman" w:eastAsia="Times New Roman" w:hAnsi="Times New Roman" w:cs="Times New Roman"/>
          <w:sz w:val="24"/>
          <w:szCs w:val="24"/>
          <w:lang w:val="fr-FR" w:eastAsia="es-ES"/>
        </w:rPr>
        <w:t xml:space="preserve"> du </w:t>
      </w:r>
      <w:proofErr w:type="spellStart"/>
      <w:r w:rsidRPr="006D5058">
        <w:rPr>
          <w:rFonts w:ascii="Times New Roman" w:eastAsia="Times New Roman" w:hAnsi="Times New Roman" w:cs="Times New Roman"/>
          <w:sz w:val="24"/>
          <w:szCs w:val="24"/>
          <w:lang w:val="fr-FR" w:eastAsia="es-ES"/>
        </w:rPr>
        <w:t>dissensus</w:t>
      </w:r>
      <w:proofErr w:type="spellEnd"/>
      <w:r w:rsidRPr="006D5058">
        <w:rPr>
          <w:rFonts w:ascii="Times New Roman" w:eastAsia="Times New Roman" w:hAnsi="Times New Roman" w:cs="Times New Roman"/>
          <w:sz w:val="24"/>
          <w:szCs w:val="24"/>
          <w:lang w:val="fr-FR" w:eastAsia="es-ES"/>
        </w:rPr>
        <w:t>, et opposition de discours. La communication est pleinement argumentative lorsque la différence de discours est problématisée en une Question, et que se dégagent nettement les trois rôles actanciels de Proposant, d’Opposant et de Tiers. (Plantin 2003 : 381)</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6Cette perspective offre, on le voit, une position nuancée en admettant des degrés d’</w:t>
      </w:r>
      <w:proofErr w:type="spellStart"/>
      <w:r w:rsidRPr="006D5058">
        <w:rPr>
          <w:rFonts w:ascii="Times New Roman" w:eastAsia="Times New Roman" w:hAnsi="Times New Roman" w:cs="Times New Roman"/>
          <w:sz w:val="24"/>
          <w:szCs w:val="24"/>
          <w:lang w:val="fr-FR" w:eastAsia="es-ES"/>
        </w:rPr>
        <w:t>argumentativité</w:t>
      </w:r>
      <w:proofErr w:type="spellEnd"/>
      <w:r w:rsidRPr="006D5058">
        <w:rPr>
          <w:rFonts w:ascii="Times New Roman" w:eastAsia="Times New Roman" w:hAnsi="Times New Roman" w:cs="Times New Roman"/>
          <w:sz w:val="24"/>
          <w:szCs w:val="24"/>
          <w:lang w:val="fr-FR" w:eastAsia="es-ES"/>
        </w:rPr>
        <w:t xml:space="preserve">. En élargissant cette démarche, on peut poser que la conception liant l’argumentation à une divergence de points de vue et à la nécessité d’élaborer une solution qui permet de résoudre le différend dans l’un ou dans l’autre sens, n’est pas la seule possible ni la seule légitime. Il n’est que de rappeler les définitions de J.-B. </w:t>
      </w:r>
      <w:proofErr w:type="spellStart"/>
      <w:r w:rsidRPr="006D5058">
        <w:rPr>
          <w:rFonts w:ascii="Times New Roman" w:eastAsia="Times New Roman" w:hAnsi="Times New Roman" w:cs="Times New Roman"/>
          <w:sz w:val="24"/>
          <w:szCs w:val="24"/>
          <w:lang w:val="fr-FR" w:eastAsia="es-ES"/>
        </w:rPr>
        <w:t>Grize</w:t>
      </w:r>
      <w:proofErr w:type="spellEnd"/>
      <w:r w:rsidRPr="006D5058">
        <w:rPr>
          <w:rFonts w:ascii="Times New Roman" w:eastAsia="Times New Roman" w:hAnsi="Times New Roman" w:cs="Times New Roman"/>
          <w:sz w:val="24"/>
          <w:szCs w:val="24"/>
          <w:lang w:val="fr-FR" w:eastAsia="es-ES"/>
        </w:rPr>
        <w:t xml:space="preserve"> :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proofErr w:type="gramStart"/>
      <w:r w:rsidRPr="006D5058">
        <w:rPr>
          <w:rFonts w:ascii="Times New Roman" w:eastAsia="Times New Roman" w:hAnsi="Times New Roman" w:cs="Times New Roman"/>
          <w:sz w:val="24"/>
          <w:szCs w:val="24"/>
          <w:lang w:val="fr-FR" w:eastAsia="es-ES"/>
        </w:rPr>
        <w:t>argumenter</w:t>
      </w:r>
      <w:proofErr w:type="gramEnd"/>
      <w:r w:rsidRPr="006D5058">
        <w:rPr>
          <w:rFonts w:ascii="Times New Roman" w:eastAsia="Times New Roman" w:hAnsi="Times New Roman" w:cs="Times New Roman"/>
          <w:sz w:val="24"/>
          <w:szCs w:val="24"/>
          <w:lang w:val="fr-FR" w:eastAsia="es-ES"/>
        </w:rPr>
        <w:t xml:space="preserve"> dans l’acception courante, c’est fournir des arguments, donc des raisons, à l’appui ou à l’encontre d’une thèse […] Mais il est aussi possible de concevoir l’argumentation d’un point de vue plus large et de l’entendre comme une démarche qui vise à intervenir sur l’opinion, l’attitude, voire le comportement de quelqu’un. Encore faut-il insister sur ce que les moyens sont ceux du discours (1990 : 41).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7Dans ce cadre, </w:t>
      </w:r>
      <w:proofErr w:type="spellStart"/>
      <w:r w:rsidRPr="006D5058">
        <w:rPr>
          <w:rFonts w:ascii="Times New Roman" w:eastAsia="Times New Roman" w:hAnsi="Times New Roman" w:cs="Times New Roman"/>
          <w:sz w:val="24"/>
          <w:szCs w:val="24"/>
          <w:lang w:val="fr-FR" w:eastAsia="es-ES"/>
        </w:rPr>
        <w:t>Grize</w:t>
      </w:r>
      <w:proofErr w:type="spellEnd"/>
      <w:r w:rsidRPr="006D5058">
        <w:rPr>
          <w:rFonts w:ascii="Times New Roman" w:eastAsia="Times New Roman" w:hAnsi="Times New Roman" w:cs="Times New Roman"/>
          <w:sz w:val="24"/>
          <w:szCs w:val="24"/>
          <w:lang w:val="fr-FR" w:eastAsia="es-ES"/>
        </w:rPr>
        <w:t xml:space="preserve"> met l’accent sur la capacité du discours à modifier les représentations de l’interlocuteur et à lui faire partager une vision des choses. C’est dire que le locuteur n’est pas tenu de présenter une thèse à laquelle il se range explicitement : il peut simplement orienter des façons de voir et de penser ou encore susciter, alimenter la réflexion sur un problème donné. A la limite, on rejoint une conception résumée en ces termes par Plantin dans son panorama des conceptions contemporaines de l’argumentation :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Toute parole est nécessairement argumentative. C’est un résultat concret de l’énoncé en situation. Tout énoncé vise à agir sur son destinataire, sur autrui, et à transformer son système de pensée. Tout énoncé oblige ou incite autrui à croire, à voir, à faire, autrement (Plantin 1996 : 18)</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8Au-delà de l’analyse conversationnelle qui fonde ce point de vue, on trouve la position radicale de Ducrot et </w:t>
      </w:r>
      <w:proofErr w:type="spellStart"/>
      <w:r w:rsidRPr="006D5058">
        <w:rPr>
          <w:rFonts w:ascii="Times New Roman" w:eastAsia="Times New Roman" w:hAnsi="Times New Roman" w:cs="Times New Roman"/>
          <w:sz w:val="24"/>
          <w:szCs w:val="24"/>
          <w:lang w:val="fr-FR" w:eastAsia="es-ES"/>
        </w:rPr>
        <w:t>Anscombre</w:t>
      </w:r>
      <w:proofErr w:type="spellEnd"/>
      <w:r w:rsidRPr="006D5058">
        <w:rPr>
          <w:rFonts w:ascii="Times New Roman" w:eastAsia="Times New Roman" w:hAnsi="Times New Roman" w:cs="Times New Roman"/>
          <w:sz w:val="24"/>
          <w:szCs w:val="24"/>
          <w:lang w:val="fr-FR" w:eastAsia="es-ES"/>
        </w:rPr>
        <w:t xml:space="preserve"> (1988) qui prêtent à la langue une </w:t>
      </w:r>
      <w:proofErr w:type="spellStart"/>
      <w:r w:rsidRPr="006D5058">
        <w:rPr>
          <w:rFonts w:ascii="Times New Roman" w:eastAsia="Times New Roman" w:hAnsi="Times New Roman" w:cs="Times New Roman"/>
          <w:sz w:val="24"/>
          <w:szCs w:val="24"/>
          <w:lang w:val="fr-FR" w:eastAsia="es-ES"/>
        </w:rPr>
        <w:t>argumentativité</w:t>
      </w:r>
      <w:proofErr w:type="spellEnd"/>
      <w:r w:rsidRPr="006D5058">
        <w:rPr>
          <w:rFonts w:ascii="Times New Roman" w:eastAsia="Times New Roman" w:hAnsi="Times New Roman" w:cs="Times New Roman"/>
          <w:sz w:val="24"/>
          <w:szCs w:val="24"/>
          <w:lang w:val="fr-FR" w:eastAsia="es-ES"/>
        </w:rPr>
        <w:t xml:space="preserve"> constitutive lorsqu’ils posent que signifier, c’est orienter et qu’en conséquence l’argumentation est dans la langue.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lastRenderedPageBreak/>
        <w:t>9C’est pour rendre compte de l’extension possible de l’argumentation non dans la langue, mais dans le discours qu’</w:t>
      </w:r>
      <w:proofErr w:type="spellStart"/>
      <w:r w:rsidRPr="006D5058">
        <w:rPr>
          <w:rFonts w:ascii="Times New Roman" w:eastAsia="Times New Roman" w:hAnsi="Times New Roman" w:cs="Times New Roman"/>
          <w:sz w:val="24"/>
          <w:szCs w:val="24"/>
          <w:lang w:val="fr-FR" w:eastAsia="es-ES"/>
        </w:rPr>
        <w:t>Amossy</w:t>
      </w:r>
      <w:proofErr w:type="spellEnd"/>
      <w:r w:rsidRPr="006D5058">
        <w:rPr>
          <w:rFonts w:ascii="Times New Roman" w:eastAsia="Times New Roman" w:hAnsi="Times New Roman" w:cs="Times New Roman"/>
          <w:sz w:val="24"/>
          <w:szCs w:val="24"/>
          <w:lang w:val="fr-FR" w:eastAsia="es-ES"/>
        </w:rPr>
        <w:t xml:space="preserve"> (2000) distingue entre la visée et la dimension argumentatives des discours. La première caractériserait toute prise de parole qui entend défendre une thèse et agir sur l’auditoire ; la seconde serait le fait des discours qui n’ont pas l’intention délibérée d’agir sur l’auditoire en lui faisant adopter une position déterminée, mais qui n’en orientent pas moins sa réflexion ou son regard.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10 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11La conception élargie de l’argumentation ouverte par les divers courants mentionnés repose dans toute son acuité la question de la prise de position dans le discours. On peut en effet se demander ce qu’il advient de la prise de position dans ce cadre. L’absence de thèse affirmée aboutit-elle à sa suppression pure et simple – autrement dit, faut-il poser que seule l’argumentation au premier sens du terme, comme tentative de faire adhérer l’auditoire à la thèse présentée à son assentiment, exige une prise de position de la part du locuteur et de l’allocutaire ? La prise de position ne peut-elle être graduée – à savoir, présenter des degrés variables d’explicitation ? Elle exigerait alors des modalités d’intervention variables et différenciées de la part du locuteur qui tente, non de promouvoir une thèse, mais de faire partager des façons de voir ou des questionnements. En même temps, la mise à jour d’une orientation argumentative qui ne s’affiche pas amène à reconsidérer la façon dont certains textes dissimulent des partis-pris partisans derrière des apparences neutres, pseudo-objectives et même, éventuellement, « scientifiques ».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12Les discours à dimension argumentative, plus encore que ceux qui possèdent une visée argumentative, procèdent souvent à un gommage de la subjectivité dans le discours, corrélatif d’un refus à prendre clairement position. Pour comprendre l’ampleur et l’importance du phénomène, il suffit de rappeler que certaines situations de discours imposent au locuteur de voiler autant que possible les traces de sa présence, et de pratiquer jusque dans l’énonciation à la première personne des formes d’effacement de la subjectivité. Le texte aurait d’autant plus de légitimité qu’il ne tenterait pas de conditionner son lecteur, ou de lui forcer la main au risque de lui faire perdre la face. Une neutralité apparente peut protéger le locuteur soit contre d’éventuelles objections, soit contre des tentatives de </w:t>
      </w:r>
      <w:proofErr w:type="spellStart"/>
      <w:r w:rsidRPr="006D5058">
        <w:rPr>
          <w:rFonts w:ascii="Times New Roman" w:eastAsia="Times New Roman" w:hAnsi="Times New Roman" w:cs="Times New Roman"/>
          <w:sz w:val="24"/>
          <w:szCs w:val="24"/>
          <w:lang w:val="fr-FR" w:eastAsia="es-ES"/>
        </w:rPr>
        <w:t>délégitimation</w:t>
      </w:r>
      <w:proofErr w:type="spellEnd"/>
      <w:r w:rsidRPr="006D5058">
        <w:rPr>
          <w:rFonts w:ascii="Times New Roman" w:eastAsia="Times New Roman" w:hAnsi="Times New Roman" w:cs="Times New Roman"/>
          <w:sz w:val="24"/>
          <w:szCs w:val="24"/>
          <w:lang w:val="fr-FR" w:eastAsia="es-ES"/>
        </w:rPr>
        <w:t xml:space="preserve">. Elle peut permettre de dire sans dire et de « laisser entendre sans encourir la responsabilité d’avoir dit » (Ducrot 1980 :5-6), en particulier dans le cas des « tabous linguistiques » (ibid.). Plus spécifiquement, de nombreuses pratiques discursives possèdent leur propre code déontologique et imposent leurs contraintes à l’expression de la subjectivité. L’allocutaire possède une connaissance généralement tacite, inscrite dans son patrimoine culturel, du coût du droit à la parole : certains genres plus que d’autres autorisent le locuteur à s’engager personnellement ; d’autres le contraignent, sous peine de violation de contrat, à s’interdire toute intervention, voire à dissimuler les traces de sa présence.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13</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14Examiner comment une prise de position s’opère dans un discours qui tend à effacer les marques de subjectivité permet d’échapper au piège de la dichotomie subjectivité/objectivité, être/paraître, discours/récit, description/argumentation. En effet, subjectivité ne signifie pas nécessairement spontanéité, immédiateté : on sait aujourd’hui que la subjectivité se construit dans le discours au même titre que les </w:t>
      </w:r>
      <w:r w:rsidRPr="006D5058">
        <w:rPr>
          <w:rFonts w:ascii="Times New Roman" w:eastAsia="Times New Roman" w:hAnsi="Times New Roman" w:cs="Times New Roman"/>
          <w:sz w:val="24"/>
          <w:szCs w:val="24"/>
          <w:lang w:val="fr-FR" w:eastAsia="es-ES"/>
        </w:rPr>
        <w:lastRenderedPageBreak/>
        <w:t xml:space="preserve">apparences d’objectivité, qu’il n’est pas de récit en-dehors du discours, ni de description neutre dépourvue de fin. Dans tous les cas, il s’agit d’étudier la façon dont les marques de subjectivité et les effets d’objectivité se négocient à l’intérieur du discours en examinant comment ils peuvent s’investir ou se contaminer réciproquement. Il s’agit donc de penser en termes de régulation graduelle. En octroyant à celle-ci une place centrale, nous ne prétendons pas innover mais bien plutôt contribuer à clarifier un phénomène qui avait déjà retenu l’attention des auteurs de </w:t>
      </w:r>
      <w:proofErr w:type="spellStart"/>
      <w:r w:rsidRPr="006D5058">
        <w:rPr>
          <w:rFonts w:ascii="Times New Roman" w:eastAsia="Times New Roman" w:hAnsi="Times New Roman" w:cs="Times New Roman"/>
          <w:i/>
          <w:iCs/>
          <w:sz w:val="24"/>
          <w:szCs w:val="24"/>
          <w:lang w:val="fr-FR" w:eastAsia="es-ES"/>
        </w:rPr>
        <w:t>Semen</w:t>
      </w:r>
      <w:proofErr w:type="spellEnd"/>
      <w:r w:rsidRPr="006D5058">
        <w:rPr>
          <w:rFonts w:ascii="Times New Roman" w:eastAsia="Times New Roman" w:hAnsi="Times New Roman" w:cs="Times New Roman"/>
          <w:sz w:val="24"/>
          <w:szCs w:val="24"/>
          <w:lang w:val="fr-FR" w:eastAsia="es-ES"/>
        </w:rPr>
        <w:t xml:space="preserve"> 13, </w:t>
      </w:r>
      <w:r w:rsidRPr="006D5058">
        <w:rPr>
          <w:rFonts w:ascii="Times New Roman" w:eastAsia="Times New Roman" w:hAnsi="Times New Roman" w:cs="Times New Roman"/>
          <w:i/>
          <w:iCs/>
          <w:sz w:val="24"/>
          <w:szCs w:val="24"/>
          <w:lang w:val="fr-FR" w:eastAsia="es-ES"/>
        </w:rPr>
        <w:t>Genres de la presse écrite et analyse de discours</w:t>
      </w:r>
      <w:r w:rsidRPr="006D5058">
        <w:rPr>
          <w:rFonts w:ascii="Times New Roman" w:eastAsia="Times New Roman" w:hAnsi="Times New Roman" w:cs="Times New Roman"/>
          <w:sz w:val="24"/>
          <w:szCs w:val="24"/>
          <w:lang w:val="fr-FR" w:eastAsia="es-ES"/>
        </w:rPr>
        <w:t xml:space="preserve">, dirigé par Jean-Michel Adam, Thierry Herman et Gille </w:t>
      </w:r>
      <w:proofErr w:type="spellStart"/>
      <w:r w:rsidRPr="006D5058">
        <w:rPr>
          <w:rFonts w:ascii="Times New Roman" w:eastAsia="Times New Roman" w:hAnsi="Times New Roman" w:cs="Times New Roman"/>
          <w:sz w:val="24"/>
          <w:szCs w:val="24"/>
          <w:lang w:val="fr-FR" w:eastAsia="es-ES"/>
        </w:rPr>
        <w:t>Lugrin</w:t>
      </w:r>
      <w:proofErr w:type="spellEnd"/>
      <w:r w:rsidRPr="006D5058">
        <w:rPr>
          <w:rFonts w:ascii="Times New Roman" w:eastAsia="Times New Roman" w:hAnsi="Times New Roman" w:cs="Times New Roman"/>
          <w:sz w:val="24"/>
          <w:szCs w:val="24"/>
          <w:lang w:val="fr-FR" w:eastAsia="es-ES"/>
        </w:rPr>
        <w:t>. On y lit en effet qu’il faut penser l’ «engagement énonciatif » en termes de « degrés » (p.12) ; il y est question d’ « un genre qui se veut subjectif et qui se désubjectivise » contre toute attente (p.135) ou de genres à « tendance subjectivisée » ou « </w:t>
      </w:r>
      <w:proofErr w:type="spellStart"/>
      <w:r w:rsidRPr="006D5058">
        <w:rPr>
          <w:rFonts w:ascii="Times New Roman" w:eastAsia="Times New Roman" w:hAnsi="Times New Roman" w:cs="Times New Roman"/>
          <w:sz w:val="24"/>
          <w:szCs w:val="24"/>
          <w:lang w:val="fr-FR" w:eastAsia="es-ES"/>
        </w:rPr>
        <w:t>objectivisée</w:t>
      </w:r>
      <w:proofErr w:type="spellEnd"/>
      <w:r w:rsidRPr="006D5058">
        <w:rPr>
          <w:rFonts w:ascii="Times New Roman" w:eastAsia="Times New Roman" w:hAnsi="Times New Roman" w:cs="Times New Roman"/>
          <w:sz w:val="24"/>
          <w:szCs w:val="24"/>
          <w:lang w:val="fr-FR" w:eastAsia="es-ES"/>
        </w:rPr>
        <w:t xml:space="preserve"> » (p.115).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15La question de la prise de position, et de la nécessaire inscription du sujet parlant dans son discours, ne peut manquer de soulever celle de la régulation du discours scientifique : elle remet sur le tapis le problème de la position de l’analyste. Là encore, nous ne sommes pas les seuls à problématiser la question de l’engagement dans le domaine de la recherche : la revue </w:t>
      </w:r>
      <w:r w:rsidRPr="006D5058">
        <w:rPr>
          <w:rFonts w:ascii="Times New Roman" w:eastAsia="Times New Roman" w:hAnsi="Times New Roman" w:cs="Times New Roman"/>
          <w:i/>
          <w:iCs/>
          <w:sz w:val="24"/>
          <w:szCs w:val="24"/>
          <w:lang w:val="fr-FR" w:eastAsia="es-ES"/>
        </w:rPr>
        <w:t>Questions de communication</w:t>
      </w:r>
      <w:r w:rsidRPr="006D5058">
        <w:rPr>
          <w:rFonts w:ascii="Times New Roman" w:eastAsia="Times New Roman" w:hAnsi="Times New Roman" w:cs="Times New Roman"/>
          <w:sz w:val="24"/>
          <w:szCs w:val="24"/>
          <w:lang w:val="fr-FR" w:eastAsia="es-ES"/>
        </w:rPr>
        <w:t xml:space="preserve"> (2 et 3) vient de publier une série d’échanges et de prises de position sur l’ «engagement » des chercheurs en sciences sociales. Désireux de poursuivre le débat, certains auteurs de </w:t>
      </w:r>
      <w:proofErr w:type="spellStart"/>
      <w:r w:rsidRPr="006D5058">
        <w:rPr>
          <w:rFonts w:ascii="Times New Roman" w:eastAsia="Times New Roman" w:hAnsi="Times New Roman" w:cs="Times New Roman"/>
          <w:sz w:val="24"/>
          <w:szCs w:val="24"/>
          <w:lang w:val="fr-FR" w:eastAsia="es-ES"/>
        </w:rPr>
        <w:t>Semen</w:t>
      </w:r>
      <w:proofErr w:type="spellEnd"/>
      <w:r w:rsidRPr="006D5058">
        <w:rPr>
          <w:rFonts w:ascii="Times New Roman" w:eastAsia="Times New Roman" w:hAnsi="Times New Roman" w:cs="Times New Roman"/>
          <w:sz w:val="24"/>
          <w:szCs w:val="24"/>
          <w:lang w:val="fr-FR" w:eastAsia="es-ES"/>
        </w:rPr>
        <w:t xml:space="preserve"> 17 s’interrogent sur les modalités discursives et argumentatives de l’engagement et du désengagement dans des discours autres que ceux de la sociologie ou de l’histoire.</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16Un mot à propos de cette notion d’engagement dans son rapport avec celle de prise de position dans le discours. Mettre l’accent sur cette dernière, c’est bien sûr reprendre la vaste question de l’engagement du sujet parlant. Les deux notions sont apparentées : dans les deux cas, il s’agit de s’impliquer personnellement sur une question qui autorise des réponses différentes, quand elle ne suscite pas des différends ; dans les deux cas, la prise de parole est un acte et peut devenir une arme sur la place publique. Dans le contexte des débats contemporains sur l’engagement, cependant, ce terme - fortement en prise sur le sens que lui a donné Sartre à l’issue de la Seconde guerre mondiale – revêt un sens plus large que celui ici prêté à « prise de position dans le discours ». Il renvoie en effet à une volonté délibérée et affichée de militer pour une cause et de contribuer à effectuer des modifications de fait dans une situation sociale et politique donnée. La parole ici se mobilise dans un espace public où elle entend intervenir activement. La prise de position dans le discours, quant à elle, marque la mise en mots, par des voies directes ou indirectes, des choix effectués par le sujet parlant. Dans cette démarche où il s’implique plus ou moins fortement, il ne milite pas nécessairement pour une cause, ni ne tente de changer la face des choses. Aussi différencions-nous entre les deux notions en notant qu’il peut y avoir prise de position plus ou moins explicite dans le discours sans engagement au sens fort du terme, comme dans les discours d’information journalistique, la correspondance diplomatique, ou les formes de discours philosophiques étudiés dans ce volume.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17Telles sont les questions que nous proposons d’explorer à travers l’examen d’un choix de pratiques discursives : le discours scientifique, philosophique, juridique, littéraire, journalistique et politique, le témoignage historique et la correspondance diplomatique. A travers cet éventail de textes, il s’agit de voir comment chacun aborde la question – à partir de quel outillage théorique et méthodologique, de quelles grandes </w:t>
      </w:r>
      <w:r w:rsidRPr="006D5058">
        <w:rPr>
          <w:rFonts w:ascii="Times New Roman" w:eastAsia="Times New Roman" w:hAnsi="Times New Roman" w:cs="Times New Roman"/>
          <w:sz w:val="24"/>
          <w:szCs w:val="24"/>
          <w:lang w:val="fr-FR" w:eastAsia="es-ES"/>
        </w:rPr>
        <w:lastRenderedPageBreak/>
        <w:t xml:space="preserve">références linguistiques (linguistiques de l’énonciation, pragmatique, AD, théories de l’argumentation, etc.) chacun justifie ses interprétations.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18 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19Le recueil s’ouvre sur un débat de nature générale qu’on pourrait schématiser par la question suivante : dans quelle mesure, et par quelles procédures, est-il possible d’élaborer une parole neutre sur le monde ? Bien que traitant de corpus sensiblement différents, les cinq premiers textes ont un point commun dans la mesure où l’exigence de neutralité y apparaît comme le prix énonciatif de la prise de position. Roselyne </w:t>
      </w:r>
      <w:proofErr w:type="spellStart"/>
      <w:r w:rsidRPr="006D5058">
        <w:rPr>
          <w:rFonts w:ascii="Times New Roman" w:eastAsia="Times New Roman" w:hAnsi="Times New Roman" w:cs="Times New Roman"/>
          <w:sz w:val="24"/>
          <w:szCs w:val="24"/>
          <w:lang w:val="fr-FR" w:eastAsia="es-ES"/>
        </w:rPr>
        <w:t>Koren</w:t>
      </w:r>
      <w:proofErr w:type="spellEnd"/>
      <w:r w:rsidRPr="006D5058">
        <w:rPr>
          <w:rFonts w:ascii="Times New Roman" w:eastAsia="Times New Roman" w:hAnsi="Times New Roman" w:cs="Times New Roman"/>
          <w:sz w:val="24"/>
          <w:szCs w:val="24"/>
          <w:lang w:val="fr-FR" w:eastAsia="es-ES"/>
        </w:rPr>
        <w:t xml:space="preserve"> montre dans une étude de l’écriture de presse comment le métadiscours sur « l’engagement neutre » et l’ethos du journaliste « impartial » ne résistent pas à une analyse des textes. Elle étudie dans ce sens l’éditorial qui, bien qu’autorisé à intégrer une prise de position, affiche de multiples effets d’objectivité ; elle montre comment le compte rendu exploite les ressources subjectives implicites de l’agencement textuel (la sélection, le rapprochement associatif, le rythme… etc.) pour interpeller l’allocutaire. </w:t>
      </w:r>
      <w:proofErr w:type="spellStart"/>
      <w:r w:rsidRPr="006D5058">
        <w:rPr>
          <w:rFonts w:ascii="Times New Roman" w:eastAsia="Times New Roman" w:hAnsi="Times New Roman" w:cs="Times New Roman"/>
          <w:sz w:val="24"/>
          <w:szCs w:val="24"/>
          <w:lang w:val="fr-FR" w:eastAsia="es-ES"/>
        </w:rPr>
        <w:t>Koren</w:t>
      </w:r>
      <w:proofErr w:type="spellEnd"/>
      <w:r w:rsidRPr="006D5058">
        <w:rPr>
          <w:rFonts w:ascii="Times New Roman" w:eastAsia="Times New Roman" w:hAnsi="Times New Roman" w:cs="Times New Roman"/>
          <w:sz w:val="24"/>
          <w:szCs w:val="24"/>
          <w:lang w:val="fr-FR" w:eastAsia="es-ES"/>
        </w:rPr>
        <w:t xml:space="preserve"> propose que soit reconnue l’impossibilité de toute transparence et neutralité discursives pour que puissent être pleinement pris en compte </w:t>
      </w:r>
      <w:r w:rsidRPr="006D5058">
        <w:rPr>
          <w:rFonts w:ascii="Times New Roman" w:eastAsia="Times New Roman" w:hAnsi="Times New Roman" w:cs="Times New Roman"/>
          <w:i/>
          <w:iCs/>
          <w:sz w:val="24"/>
          <w:szCs w:val="24"/>
          <w:lang w:val="fr-FR" w:eastAsia="es-ES"/>
        </w:rPr>
        <w:t>Les enjeux éthiques de l’écriture de presse</w:t>
      </w:r>
      <w:r w:rsidRPr="006D5058">
        <w:rPr>
          <w:rFonts w:ascii="Times New Roman" w:eastAsia="Times New Roman" w:hAnsi="Times New Roman" w:cs="Times New Roman"/>
          <w:sz w:val="24"/>
          <w:szCs w:val="24"/>
          <w:lang w:val="fr-FR" w:eastAsia="es-ES"/>
        </w:rPr>
        <w:t xml:space="preserve"> (1996). Cette étude, elle-même engagée sur le plan linguistique aussi bien que déontologique, demande aux journalistes de renoncer à une conception périmée du langage et d’en tirer toutes les conséquences pour leur relation à la prise de position.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20Les travaux qui suivent se penchent à leur tour sur l’inscription, ou plutôt la désinscription partielle de la subjectivité dans le discours qui cherche à persuader. Se situant dans l’espace de la correspondance diplomatique entre la France et l’Allemagne entre 1871 et 1914, Cohen l’envisage sous ses deux aspects, la correspondance entre les ambassadeurs et leurs supérieurs, et la correspondance étatique. Elle montre comment l’effacement des marques de la subjectivité, ou son marquage indirect, desservent l’orientation argumentative de textes qui ne peuvent avouer leur visée de persuasion. La question est étudiée dans un cadre générique : il faut prendre en compte l’impact des contraintes du genre sur l’expression de la subjectivité, et le degré d’</w:t>
      </w:r>
      <w:proofErr w:type="spellStart"/>
      <w:r w:rsidRPr="006D5058">
        <w:rPr>
          <w:rFonts w:ascii="Times New Roman" w:eastAsia="Times New Roman" w:hAnsi="Times New Roman" w:cs="Times New Roman"/>
          <w:sz w:val="24"/>
          <w:szCs w:val="24"/>
          <w:lang w:val="fr-FR" w:eastAsia="es-ES"/>
        </w:rPr>
        <w:t>argumentativité</w:t>
      </w:r>
      <w:proofErr w:type="spellEnd"/>
      <w:r w:rsidRPr="006D5058">
        <w:rPr>
          <w:rFonts w:ascii="Times New Roman" w:eastAsia="Times New Roman" w:hAnsi="Times New Roman" w:cs="Times New Roman"/>
          <w:sz w:val="24"/>
          <w:szCs w:val="24"/>
          <w:lang w:val="fr-FR" w:eastAsia="es-ES"/>
        </w:rPr>
        <w:t xml:space="preserve"> que peut afficher la lettre diplomatique comme telle. Alice </w:t>
      </w:r>
      <w:proofErr w:type="spellStart"/>
      <w:r w:rsidRPr="006D5058">
        <w:rPr>
          <w:rFonts w:ascii="Times New Roman" w:eastAsia="Times New Roman" w:hAnsi="Times New Roman" w:cs="Times New Roman"/>
          <w:sz w:val="24"/>
          <w:szCs w:val="24"/>
          <w:lang w:val="fr-FR" w:eastAsia="es-ES"/>
        </w:rPr>
        <w:t>Krieg</w:t>
      </w:r>
      <w:proofErr w:type="spellEnd"/>
      <w:r w:rsidRPr="006D5058">
        <w:rPr>
          <w:rFonts w:ascii="Times New Roman" w:eastAsia="Times New Roman" w:hAnsi="Times New Roman" w:cs="Times New Roman"/>
          <w:sz w:val="24"/>
          <w:szCs w:val="24"/>
          <w:lang w:val="fr-FR" w:eastAsia="es-ES"/>
        </w:rPr>
        <w:t xml:space="preserve">, quant à elle, montre sur un plan général les usages du métalangage sur l’euphémisme et les fonctions qu’il remplit sur la place publique, plus particulièrement dans le discours politique. Désigner sa propre parole ou celle de l’autre comme un euphémisme, c’est marquer une évaluation personnelle et inscrire dans le discours une subjectivité qui l’oriente </w:t>
      </w:r>
      <w:proofErr w:type="spellStart"/>
      <w:r w:rsidRPr="006D5058">
        <w:rPr>
          <w:rFonts w:ascii="Times New Roman" w:eastAsia="Times New Roman" w:hAnsi="Times New Roman" w:cs="Times New Roman"/>
          <w:sz w:val="24"/>
          <w:szCs w:val="24"/>
          <w:lang w:val="fr-FR" w:eastAsia="es-ES"/>
        </w:rPr>
        <w:t>argumentativement</w:t>
      </w:r>
      <w:proofErr w:type="spellEnd"/>
      <w:r w:rsidRPr="006D5058">
        <w:rPr>
          <w:rFonts w:ascii="Times New Roman" w:eastAsia="Times New Roman" w:hAnsi="Times New Roman" w:cs="Times New Roman"/>
          <w:sz w:val="24"/>
          <w:szCs w:val="24"/>
          <w:lang w:val="fr-FR" w:eastAsia="es-ES"/>
        </w:rPr>
        <w:t xml:space="preserve"> ; mais c’est aussi, simultanément, donner à l’énoncé des apparences scientifiques et tirer parti de l’ambivalence pour « dire et ne pas dire ».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21En s’attaquant aux paradoxes que présente un régime discursif particulier dans son rapport à la subjectivité, </w:t>
      </w:r>
      <w:proofErr w:type="spellStart"/>
      <w:r w:rsidRPr="006D5058">
        <w:rPr>
          <w:rFonts w:ascii="Times New Roman" w:eastAsia="Times New Roman" w:hAnsi="Times New Roman" w:cs="Times New Roman"/>
          <w:sz w:val="24"/>
          <w:szCs w:val="24"/>
          <w:lang w:val="fr-FR" w:eastAsia="es-ES"/>
        </w:rPr>
        <w:t>Cossutta</w:t>
      </w:r>
      <w:proofErr w:type="spellEnd"/>
      <w:r w:rsidRPr="006D5058">
        <w:rPr>
          <w:rFonts w:ascii="Times New Roman" w:eastAsia="Times New Roman" w:hAnsi="Times New Roman" w:cs="Times New Roman"/>
          <w:sz w:val="24"/>
          <w:szCs w:val="24"/>
          <w:lang w:val="fr-FR" w:eastAsia="es-ES"/>
        </w:rPr>
        <w:t xml:space="preserve"> et </w:t>
      </w:r>
      <w:proofErr w:type="spellStart"/>
      <w:r w:rsidRPr="006D5058">
        <w:rPr>
          <w:rFonts w:ascii="Times New Roman" w:eastAsia="Times New Roman" w:hAnsi="Times New Roman" w:cs="Times New Roman"/>
          <w:sz w:val="24"/>
          <w:szCs w:val="24"/>
          <w:lang w:val="fr-FR" w:eastAsia="es-ES"/>
        </w:rPr>
        <w:t>Danblon</w:t>
      </w:r>
      <w:proofErr w:type="spellEnd"/>
      <w:r w:rsidRPr="006D5058">
        <w:rPr>
          <w:rFonts w:ascii="Times New Roman" w:eastAsia="Times New Roman" w:hAnsi="Times New Roman" w:cs="Times New Roman"/>
          <w:sz w:val="24"/>
          <w:szCs w:val="24"/>
          <w:lang w:val="fr-FR" w:eastAsia="es-ES"/>
        </w:rPr>
        <w:t xml:space="preserve"> jettent la lumière sur la façon dont les discours philosophique et juridique inscrivent le sujet dans un discours qui ne favorise pas le mode personnel, voire s’en méfie ou le désavoue. C’est ainsi que </w:t>
      </w:r>
      <w:proofErr w:type="spellStart"/>
      <w:r w:rsidRPr="006D5058">
        <w:rPr>
          <w:rFonts w:ascii="Times New Roman" w:eastAsia="Times New Roman" w:hAnsi="Times New Roman" w:cs="Times New Roman"/>
          <w:sz w:val="24"/>
          <w:szCs w:val="24"/>
          <w:lang w:val="fr-FR" w:eastAsia="es-ES"/>
        </w:rPr>
        <w:t>Cossutta</w:t>
      </w:r>
      <w:proofErr w:type="spellEnd"/>
      <w:r w:rsidRPr="006D5058">
        <w:rPr>
          <w:rFonts w:ascii="Times New Roman" w:eastAsia="Times New Roman" w:hAnsi="Times New Roman" w:cs="Times New Roman"/>
          <w:sz w:val="24"/>
          <w:szCs w:val="24"/>
          <w:lang w:val="fr-FR" w:eastAsia="es-ES"/>
        </w:rPr>
        <w:t xml:space="preserve"> examine à partir d’exemples privilégiés la façon dont les discours philosophiques opèrent « pour neutraliser les points de vue, réduire la contingence de la situation énonciative, effacer les dimensions subjectives, généraliser leur propos et poser une prétention à la validité universelle de leurs affirmations ». Le problème est ici abordé, non au niveau de la matérialité du langage, mais à celui des stratégies énonciatives et de la logique globale qui sous-tend des pratiques discursives dans des systèmes de pensée </w:t>
      </w:r>
      <w:r w:rsidRPr="006D5058">
        <w:rPr>
          <w:rFonts w:ascii="Times New Roman" w:eastAsia="Times New Roman" w:hAnsi="Times New Roman" w:cs="Times New Roman"/>
          <w:sz w:val="24"/>
          <w:szCs w:val="24"/>
          <w:lang w:val="fr-FR" w:eastAsia="es-ES"/>
        </w:rPr>
        <w:lastRenderedPageBreak/>
        <w:t xml:space="preserve">différents. C’est aussi à un problème d’ordre général que s’attaque </w:t>
      </w:r>
      <w:proofErr w:type="spellStart"/>
      <w:r w:rsidRPr="006D5058">
        <w:rPr>
          <w:rFonts w:ascii="Times New Roman" w:eastAsia="Times New Roman" w:hAnsi="Times New Roman" w:cs="Times New Roman"/>
          <w:sz w:val="24"/>
          <w:szCs w:val="24"/>
          <w:lang w:val="fr-FR" w:eastAsia="es-ES"/>
        </w:rPr>
        <w:t>Danblon</w:t>
      </w:r>
      <w:proofErr w:type="spellEnd"/>
      <w:r w:rsidRPr="006D5058">
        <w:rPr>
          <w:rFonts w:ascii="Times New Roman" w:eastAsia="Times New Roman" w:hAnsi="Times New Roman" w:cs="Times New Roman"/>
          <w:sz w:val="24"/>
          <w:szCs w:val="24"/>
          <w:lang w:val="fr-FR" w:eastAsia="es-ES"/>
        </w:rPr>
        <w:t xml:space="preserve"> lorsqu’elle se penche sur la "performativité" de la chose jugée dans le raisonnement juridique comme technique de neutralisation de la subjectivité inhérente à la décision du juge. L'acte de langage performatif que produit toute sentence se donne en effet comme une </w:t>
      </w:r>
      <w:proofErr w:type="spellStart"/>
      <w:r w:rsidRPr="006D5058">
        <w:rPr>
          <w:rFonts w:ascii="Times New Roman" w:eastAsia="Times New Roman" w:hAnsi="Times New Roman" w:cs="Times New Roman"/>
          <w:sz w:val="24"/>
          <w:szCs w:val="24"/>
          <w:lang w:val="fr-FR" w:eastAsia="es-ES"/>
        </w:rPr>
        <w:t>possiblité</w:t>
      </w:r>
      <w:proofErr w:type="spellEnd"/>
      <w:r w:rsidRPr="006D5058">
        <w:rPr>
          <w:rFonts w:ascii="Times New Roman" w:eastAsia="Times New Roman" w:hAnsi="Times New Roman" w:cs="Times New Roman"/>
          <w:sz w:val="24"/>
          <w:szCs w:val="24"/>
          <w:lang w:val="fr-FR" w:eastAsia="es-ES"/>
        </w:rPr>
        <w:t xml:space="preserve"> linguistique de neutraliser cette subjectivité. Cependant la technique est ambivalente car elle provoque en un second temps un effet involontaire de subjectivation, effet lié au statut de « fiction juridique » contenu dans la sentence. Elargissant la question à l'ensemble des fictions juridiques, </w:t>
      </w:r>
      <w:proofErr w:type="spellStart"/>
      <w:r w:rsidRPr="006D5058">
        <w:rPr>
          <w:rFonts w:ascii="Times New Roman" w:eastAsia="Times New Roman" w:hAnsi="Times New Roman" w:cs="Times New Roman"/>
          <w:sz w:val="24"/>
          <w:szCs w:val="24"/>
          <w:lang w:val="fr-FR" w:eastAsia="es-ES"/>
        </w:rPr>
        <w:t>Danblon</w:t>
      </w:r>
      <w:proofErr w:type="spellEnd"/>
      <w:r w:rsidRPr="006D5058">
        <w:rPr>
          <w:rFonts w:ascii="Times New Roman" w:eastAsia="Times New Roman" w:hAnsi="Times New Roman" w:cs="Times New Roman"/>
          <w:sz w:val="24"/>
          <w:szCs w:val="24"/>
          <w:lang w:val="fr-FR" w:eastAsia="es-ES"/>
        </w:rPr>
        <w:t xml:space="preserve"> constate que cet effet involontaire de subjectivité est celui qui préoccupe le plus les locuteurs lorsqu'ils débattent à propos de la justice. On a là un cas exemplaire d'effet involontaire de subjectivité provoquée dans un cadre qui fait tout pour objectiver une subjectivité bien réelle : celle du juge.</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22On revient à une analyse plus en prise sur les modalités langagières et discursives avec les deux contributions que proposent Alain </w:t>
      </w:r>
      <w:proofErr w:type="spellStart"/>
      <w:r w:rsidRPr="006D5058">
        <w:rPr>
          <w:rFonts w:ascii="Times New Roman" w:eastAsia="Times New Roman" w:hAnsi="Times New Roman" w:cs="Times New Roman"/>
          <w:sz w:val="24"/>
          <w:szCs w:val="24"/>
          <w:lang w:val="fr-FR" w:eastAsia="es-ES"/>
        </w:rPr>
        <w:t>Rabatel</w:t>
      </w:r>
      <w:proofErr w:type="spellEnd"/>
      <w:r w:rsidRPr="006D5058">
        <w:rPr>
          <w:rFonts w:ascii="Times New Roman" w:eastAsia="Times New Roman" w:hAnsi="Times New Roman" w:cs="Times New Roman"/>
          <w:sz w:val="24"/>
          <w:szCs w:val="24"/>
          <w:lang w:val="fr-FR" w:eastAsia="es-ES"/>
        </w:rPr>
        <w:t xml:space="preserve"> et Ruth </w:t>
      </w:r>
      <w:proofErr w:type="spellStart"/>
      <w:r w:rsidRPr="006D5058">
        <w:rPr>
          <w:rFonts w:ascii="Times New Roman" w:eastAsia="Times New Roman" w:hAnsi="Times New Roman" w:cs="Times New Roman"/>
          <w:sz w:val="24"/>
          <w:szCs w:val="24"/>
          <w:lang w:val="fr-FR" w:eastAsia="es-ES"/>
        </w:rPr>
        <w:t>Amossy</w:t>
      </w:r>
      <w:proofErr w:type="spellEnd"/>
      <w:r w:rsidRPr="006D5058">
        <w:rPr>
          <w:rFonts w:ascii="Times New Roman" w:eastAsia="Times New Roman" w:hAnsi="Times New Roman" w:cs="Times New Roman"/>
          <w:sz w:val="24"/>
          <w:szCs w:val="24"/>
          <w:lang w:val="fr-FR" w:eastAsia="es-ES"/>
        </w:rPr>
        <w:t xml:space="preserve"> sur le discours testimonial, et plus particulièrement sur les récits concentrationnaires. Dans les deux cas, il s’agit d’examiner la façon dont ces textes se construisent sur une tension entre l’absence et la présence du sujet. Alain </w:t>
      </w:r>
      <w:proofErr w:type="spellStart"/>
      <w:r w:rsidRPr="006D5058">
        <w:rPr>
          <w:rFonts w:ascii="Times New Roman" w:eastAsia="Times New Roman" w:hAnsi="Times New Roman" w:cs="Times New Roman"/>
          <w:sz w:val="24"/>
          <w:szCs w:val="24"/>
          <w:lang w:val="fr-FR" w:eastAsia="es-ES"/>
        </w:rPr>
        <w:t>Rabatel</w:t>
      </w:r>
      <w:proofErr w:type="spellEnd"/>
      <w:r w:rsidRPr="006D5058">
        <w:rPr>
          <w:rFonts w:ascii="Times New Roman" w:eastAsia="Times New Roman" w:hAnsi="Times New Roman" w:cs="Times New Roman"/>
          <w:sz w:val="24"/>
          <w:szCs w:val="24"/>
          <w:lang w:val="fr-FR" w:eastAsia="es-ES"/>
        </w:rPr>
        <w:t xml:space="preserve"> se propose à partir d’un extrait de l’incipit du livre de Semprun, </w:t>
      </w:r>
      <w:r w:rsidRPr="006D5058">
        <w:rPr>
          <w:rFonts w:ascii="Times New Roman" w:eastAsia="Times New Roman" w:hAnsi="Times New Roman" w:cs="Times New Roman"/>
          <w:i/>
          <w:iCs/>
          <w:sz w:val="24"/>
          <w:szCs w:val="24"/>
          <w:lang w:val="fr-FR" w:eastAsia="es-ES"/>
        </w:rPr>
        <w:t>Le mort qu’il faut</w:t>
      </w:r>
      <w:r w:rsidRPr="006D5058">
        <w:rPr>
          <w:rFonts w:ascii="Times New Roman" w:eastAsia="Times New Roman" w:hAnsi="Times New Roman" w:cs="Times New Roman"/>
          <w:sz w:val="24"/>
          <w:szCs w:val="24"/>
          <w:lang w:val="fr-FR" w:eastAsia="es-ES"/>
        </w:rPr>
        <w:t>, d’examiner « si une forme spécifique de désinscription énonciative, dite effacement énonciatif (EE) ne favorise pas un régime spécifique d’argumentation, qu’</w:t>
      </w:r>
      <w:proofErr w:type="spellStart"/>
      <w:r w:rsidRPr="006D5058">
        <w:rPr>
          <w:rFonts w:ascii="Times New Roman" w:eastAsia="Times New Roman" w:hAnsi="Times New Roman" w:cs="Times New Roman"/>
          <w:sz w:val="24"/>
          <w:szCs w:val="24"/>
          <w:lang w:val="fr-FR" w:eastAsia="es-ES"/>
        </w:rPr>
        <w:t>Amossy</w:t>
      </w:r>
      <w:proofErr w:type="spellEnd"/>
      <w:r w:rsidRPr="006D5058">
        <w:rPr>
          <w:rFonts w:ascii="Times New Roman" w:eastAsia="Times New Roman" w:hAnsi="Times New Roman" w:cs="Times New Roman"/>
          <w:sz w:val="24"/>
          <w:szCs w:val="24"/>
          <w:lang w:val="fr-FR" w:eastAsia="es-ES"/>
        </w:rPr>
        <w:t xml:space="preserve"> 2000 nomme la « dimension argumentative », et où l’argumentation indirecte tente de se soustraire aux « contre-discours ». Cette étude, qui comporte des enjeux langagiers et argumentatifs dépassant largement le corpus choisi, aspire à une portée générale. Dans le cadre d’une théorie de l’argumentation dans le discours, </w:t>
      </w:r>
      <w:proofErr w:type="spellStart"/>
      <w:r w:rsidRPr="006D5058">
        <w:rPr>
          <w:rFonts w:ascii="Times New Roman" w:eastAsia="Times New Roman" w:hAnsi="Times New Roman" w:cs="Times New Roman"/>
          <w:sz w:val="24"/>
          <w:szCs w:val="24"/>
          <w:lang w:val="fr-FR" w:eastAsia="es-ES"/>
        </w:rPr>
        <w:t>Amossy</w:t>
      </w:r>
      <w:proofErr w:type="spellEnd"/>
      <w:r w:rsidRPr="006D5058">
        <w:rPr>
          <w:rFonts w:ascii="Times New Roman" w:eastAsia="Times New Roman" w:hAnsi="Times New Roman" w:cs="Times New Roman"/>
          <w:sz w:val="24"/>
          <w:szCs w:val="24"/>
          <w:lang w:val="fr-FR" w:eastAsia="es-ES"/>
        </w:rPr>
        <w:t xml:space="preserve"> explore le discours du témoignage des camps en examinant, non seulement les impératifs du genre testimonial et les conditions particulières de sa pratique dans les récits concentrationnaires de la Seconde guerre mondiale, mais aussi la cohérence argumentative d’un texte singulier, </w:t>
      </w:r>
      <w:r w:rsidRPr="006D5058">
        <w:rPr>
          <w:rFonts w:ascii="Times New Roman" w:eastAsia="Times New Roman" w:hAnsi="Times New Roman" w:cs="Times New Roman"/>
          <w:i/>
          <w:iCs/>
          <w:sz w:val="24"/>
          <w:szCs w:val="24"/>
          <w:lang w:val="fr-FR" w:eastAsia="es-ES"/>
        </w:rPr>
        <w:t>L’espèce humaine</w:t>
      </w:r>
      <w:r w:rsidRPr="006D5058">
        <w:rPr>
          <w:rFonts w:ascii="Times New Roman" w:eastAsia="Times New Roman" w:hAnsi="Times New Roman" w:cs="Times New Roman"/>
          <w:sz w:val="24"/>
          <w:szCs w:val="24"/>
          <w:lang w:val="fr-FR" w:eastAsia="es-ES"/>
        </w:rPr>
        <w:t xml:space="preserve"> de Robert </w:t>
      </w:r>
      <w:proofErr w:type="spellStart"/>
      <w:r w:rsidRPr="006D5058">
        <w:rPr>
          <w:rFonts w:ascii="Times New Roman" w:eastAsia="Times New Roman" w:hAnsi="Times New Roman" w:cs="Times New Roman"/>
          <w:sz w:val="24"/>
          <w:szCs w:val="24"/>
          <w:lang w:val="fr-FR" w:eastAsia="es-ES"/>
        </w:rPr>
        <w:t>Antelme</w:t>
      </w:r>
      <w:proofErr w:type="spellEnd"/>
      <w:r w:rsidRPr="006D5058">
        <w:rPr>
          <w:rFonts w:ascii="Times New Roman" w:eastAsia="Times New Roman" w:hAnsi="Times New Roman" w:cs="Times New Roman"/>
          <w:sz w:val="24"/>
          <w:szCs w:val="24"/>
          <w:lang w:val="fr-FR" w:eastAsia="es-ES"/>
        </w:rPr>
        <w:t xml:space="preserve">. Elle tente d’explorer au niveau de la mise en mots la configuration particulière d’un texte dont elle souligne, ce faisant, la dimension argumentative et les enjeux communicationnels.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23En fin de parcours, c’est le statut de l’analyste qui se trouve mis en cause, avec tous les enjeux scientifiques et déontologiques qui en découlent. Le problème est ici abordé par Marianne </w:t>
      </w:r>
      <w:proofErr w:type="spellStart"/>
      <w:r w:rsidRPr="006D5058">
        <w:rPr>
          <w:rFonts w:ascii="Times New Roman" w:eastAsia="Times New Roman" w:hAnsi="Times New Roman" w:cs="Times New Roman"/>
          <w:sz w:val="24"/>
          <w:szCs w:val="24"/>
          <w:lang w:val="fr-FR" w:eastAsia="es-ES"/>
        </w:rPr>
        <w:t>Doury</w:t>
      </w:r>
      <w:proofErr w:type="spellEnd"/>
      <w:r w:rsidRPr="006D5058">
        <w:rPr>
          <w:rFonts w:ascii="Times New Roman" w:eastAsia="Times New Roman" w:hAnsi="Times New Roman" w:cs="Times New Roman"/>
          <w:sz w:val="24"/>
          <w:szCs w:val="24"/>
          <w:lang w:val="fr-FR" w:eastAsia="es-ES"/>
        </w:rPr>
        <w:t xml:space="preserve"> qui, en se penchant sur son propre travail – effectué dans </w:t>
      </w:r>
      <w:r w:rsidRPr="006D5058">
        <w:rPr>
          <w:rFonts w:ascii="Times New Roman" w:eastAsia="Times New Roman" w:hAnsi="Times New Roman" w:cs="Times New Roman"/>
          <w:i/>
          <w:iCs/>
          <w:sz w:val="24"/>
          <w:szCs w:val="24"/>
          <w:lang w:val="fr-FR" w:eastAsia="es-ES"/>
        </w:rPr>
        <w:t>Le débat immobile</w:t>
      </w:r>
      <w:r w:rsidRPr="006D5058">
        <w:rPr>
          <w:rFonts w:ascii="Times New Roman" w:eastAsia="Times New Roman" w:hAnsi="Times New Roman" w:cs="Times New Roman"/>
          <w:sz w:val="24"/>
          <w:szCs w:val="24"/>
          <w:lang w:val="fr-FR" w:eastAsia="es-ES"/>
        </w:rPr>
        <w:t xml:space="preserve"> (1997), s’interroge sur la possibilité de poser une parole désengagée et propose une attitude descriptive permettant à l’analyste de ne pas entrer à son corps défendant dans le débat qui oppose les tenants et les opposants. Certaines procédures permettraient ainsi au sujet-analyste de ne pas prendre position et d’élaborer un discours qui offre les garanties de la scientificité.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24Dans l’ensemble, les corpus choisis permettent de mettre en évidence les tensions qui se font jour, dans des pratiques discursives différenciées, entre les tentatives de gommer autant que possible les marques de la subjectivité, et celles d’imprimer au discours une orientation argumentative en construisant une prise de position. Sans doute peut-on voir dans la production d’effets d’objectivité un effort visant à marquer le discours du sceau de la vérité et, partant, une manipulation. Et en effet, la démarche argumentative voilée du discours journalistique, diplomatique ou juridique n’est pas dénuée d’aspects manipulatoires dans la mesure où elle se propose d’agir sur l’auditoire en marquant sa position par des voies détournées. C’est pourquoi une attention soutenue aux </w:t>
      </w:r>
      <w:r w:rsidRPr="006D5058">
        <w:rPr>
          <w:rFonts w:ascii="Times New Roman" w:eastAsia="Times New Roman" w:hAnsi="Times New Roman" w:cs="Times New Roman"/>
          <w:sz w:val="24"/>
          <w:szCs w:val="24"/>
          <w:lang w:val="fr-FR" w:eastAsia="es-ES"/>
        </w:rPr>
        <w:lastRenderedPageBreak/>
        <w:t xml:space="preserve">fonctionnements discursifs décrits dans plusieurs des contributions de </w:t>
      </w:r>
      <w:proofErr w:type="spellStart"/>
      <w:r w:rsidRPr="006D5058">
        <w:rPr>
          <w:rFonts w:ascii="Times New Roman" w:eastAsia="Times New Roman" w:hAnsi="Times New Roman" w:cs="Times New Roman"/>
          <w:i/>
          <w:iCs/>
          <w:sz w:val="24"/>
          <w:szCs w:val="24"/>
          <w:lang w:val="fr-FR" w:eastAsia="es-ES"/>
        </w:rPr>
        <w:t>Semen</w:t>
      </w:r>
      <w:proofErr w:type="spellEnd"/>
      <w:r w:rsidRPr="006D5058">
        <w:rPr>
          <w:rFonts w:ascii="Times New Roman" w:eastAsia="Times New Roman" w:hAnsi="Times New Roman" w:cs="Times New Roman"/>
          <w:sz w:val="24"/>
          <w:szCs w:val="24"/>
          <w:lang w:val="fr-FR" w:eastAsia="es-ES"/>
        </w:rPr>
        <w:t xml:space="preserve"> 17 devrait permettre d’éviter des pièges et de garder, avec une approche analytique, une salutaire lucidité. Il ne faut pas pour autant en déduire que la dénonciation des manipulations est au centre de nos préoccupations. Plus que de dévoilement, il est ici question de compréhension : il s’agit de saisir les conditions de possibilité de différentes pratiques discursives dans leur logique propre. Il s’agit de mettre à jour le paradoxe qui s’inscrit dans des genres comme le témoignage ou le discours juridique, de voir comment il est géré. En d’autres termes, </w:t>
      </w:r>
      <w:r w:rsidRPr="006D5058">
        <w:rPr>
          <w:rFonts w:ascii="Times New Roman" w:eastAsia="Times New Roman" w:hAnsi="Times New Roman" w:cs="Times New Roman"/>
          <w:i/>
          <w:iCs/>
          <w:sz w:val="24"/>
          <w:szCs w:val="24"/>
          <w:lang w:val="fr-FR" w:eastAsia="es-ES"/>
        </w:rPr>
        <w:t>c’est la régulation de la parole sociale qui est ici en jeu</w:t>
      </w:r>
      <w:r w:rsidRPr="006D5058">
        <w:rPr>
          <w:rFonts w:ascii="Times New Roman" w:eastAsia="Times New Roman" w:hAnsi="Times New Roman" w:cs="Times New Roman"/>
          <w:sz w:val="24"/>
          <w:szCs w:val="24"/>
          <w:lang w:val="fr-FR" w:eastAsia="es-ES"/>
        </w:rPr>
        <w:t xml:space="preserve">. A l’aide de quelles modulations de la subjectivité le locuteur – journaliste, philosophe, juge, témoin, écrivain, diplomate, homme politique, chercheur – peut-il, dans des pratiques socialement et institutionnellement déterminées, présenter un point de vue ayant valeur de vérité et d’autorité ; comment le sujet parlant peut-il, en s’inscrivant ou se désinscrivant dans son discours, énoncer une parole efficace susceptible d’agir sur son auditoire – telles sont les questions auxquelles tentent de répondre les études ici rassemblées. </w:t>
      </w:r>
    </w:p>
    <w:p w:rsidR="006D5058" w:rsidRPr="006D5058" w:rsidRDefault="0059535B" w:rsidP="00604640">
      <w:pPr>
        <w:spacing w:after="0" w:line="240" w:lineRule="auto"/>
        <w:jc w:val="both"/>
        <w:rPr>
          <w:rFonts w:ascii="Times New Roman" w:eastAsia="Times New Roman" w:hAnsi="Times New Roman" w:cs="Times New Roman"/>
          <w:sz w:val="24"/>
          <w:szCs w:val="24"/>
          <w:lang w:eastAsia="es-ES"/>
        </w:rPr>
      </w:pPr>
      <w:hyperlink r:id="rId4" w:anchor="article-2305" w:history="1">
        <w:proofErr w:type="spellStart"/>
        <w:r w:rsidR="006D5058" w:rsidRPr="006D5058">
          <w:rPr>
            <w:rFonts w:ascii="Times New Roman" w:eastAsia="Times New Roman" w:hAnsi="Times New Roman" w:cs="Times New Roman"/>
            <w:color w:val="0000FF"/>
            <w:sz w:val="24"/>
            <w:szCs w:val="24"/>
            <w:u w:val="single"/>
            <w:lang w:eastAsia="es-ES"/>
          </w:rPr>
          <w:t>Haut</w:t>
        </w:r>
        <w:proofErr w:type="spellEnd"/>
        <w:r w:rsidR="006D5058" w:rsidRPr="006D5058">
          <w:rPr>
            <w:rFonts w:ascii="Times New Roman" w:eastAsia="Times New Roman" w:hAnsi="Times New Roman" w:cs="Times New Roman"/>
            <w:color w:val="0000FF"/>
            <w:sz w:val="24"/>
            <w:szCs w:val="24"/>
            <w:u w:val="single"/>
            <w:lang w:eastAsia="es-ES"/>
          </w:rPr>
          <w:t xml:space="preserve"> de page</w:t>
        </w:r>
      </w:hyperlink>
    </w:p>
    <w:p w:rsidR="006D5058" w:rsidRPr="006D5058" w:rsidRDefault="006D5058" w:rsidP="00604640">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proofErr w:type="spellStart"/>
      <w:r w:rsidRPr="006D5058">
        <w:rPr>
          <w:rFonts w:ascii="Times New Roman" w:eastAsia="Times New Roman" w:hAnsi="Times New Roman" w:cs="Times New Roman"/>
          <w:b/>
          <w:bCs/>
          <w:sz w:val="36"/>
          <w:szCs w:val="36"/>
          <w:lang w:eastAsia="es-ES"/>
        </w:rPr>
        <w:t>Bibliographie</w:t>
      </w:r>
      <w:proofErr w:type="spellEnd"/>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AMOSSY R. [2000], </w:t>
      </w:r>
      <w:r w:rsidRPr="006D5058">
        <w:rPr>
          <w:rFonts w:ascii="Times New Roman" w:eastAsia="Times New Roman" w:hAnsi="Times New Roman" w:cs="Times New Roman"/>
          <w:i/>
          <w:iCs/>
          <w:sz w:val="24"/>
          <w:szCs w:val="24"/>
          <w:lang w:val="fr-FR" w:eastAsia="es-ES"/>
        </w:rPr>
        <w:t>L’argumentation dans le discours. Discours politique, littérature d’idées, fiction</w:t>
      </w:r>
      <w:r w:rsidRPr="006D5058">
        <w:rPr>
          <w:rFonts w:ascii="Times New Roman" w:eastAsia="Times New Roman" w:hAnsi="Times New Roman" w:cs="Times New Roman"/>
          <w:sz w:val="24"/>
          <w:szCs w:val="24"/>
          <w:lang w:val="fr-FR" w:eastAsia="es-ES"/>
        </w:rPr>
        <w:t>, Paris, Nathan.</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ANSCOMBRE J-C. &amp; DUCROT O. [1988], </w:t>
      </w:r>
      <w:r w:rsidRPr="006D5058">
        <w:rPr>
          <w:rFonts w:ascii="Times New Roman" w:eastAsia="Times New Roman" w:hAnsi="Times New Roman" w:cs="Times New Roman"/>
          <w:i/>
          <w:iCs/>
          <w:sz w:val="24"/>
          <w:szCs w:val="24"/>
          <w:lang w:val="fr-FR" w:eastAsia="es-ES"/>
        </w:rPr>
        <w:t>L’Argumentation dans la langue</w:t>
      </w:r>
      <w:r w:rsidRPr="006D5058">
        <w:rPr>
          <w:rFonts w:ascii="Times New Roman" w:eastAsia="Times New Roman" w:hAnsi="Times New Roman" w:cs="Times New Roman"/>
          <w:sz w:val="24"/>
          <w:szCs w:val="24"/>
          <w:lang w:val="fr-FR" w:eastAsia="es-ES"/>
        </w:rPr>
        <w:t xml:space="preserve">, Liège, </w:t>
      </w:r>
      <w:proofErr w:type="spellStart"/>
      <w:r w:rsidRPr="006D5058">
        <w:rPr>
          <w:rFonts w:ascii="Times New Roman" w:eastAsia="Times New Roman" w:hAnsi="Times New Roman" w:cs="Times New Roman"/>
          <w:sz w:val="24"/>
          <w:szCs w:val="24"/>
          <w:lang w:val="fr-FR" w:eastAsia="es-ES"/>
        </w:rPr>
        <w:t>Mardaga</w:t>
      </w:r>
      <w:proofErr w:type="spellEnd"/>
      <w:r w:rsidRPr="006D5058">
        <w:rPr>
          <w:rFonts w:ascii="Times New Roman" w:eastAsia="Times New Roman" w:hAnsi="Times New Roman" w:cs="Times New Roman"/>
          <w:sz w:val="24"/>
          <w:szCs w:val="24"/>
          <w:lang w:val="fr-FR" w:eastAsia="es-ES"/>
        </w:rPr>
        <w:t>.</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BENVENISTE E. [1966], </w:t>
      </w:r>
      <w:r w:rsidRPr="006D5058">
        <w:rPr>
          <w:rFonts w:ascii="Times New Roman" w:eastAsia="Times New Roman" w:hAnsi="Times New Roman" w:cs="Times New Roman"/>
          <w:i/>
          <w:iCs/>
          <w:sz w:val="24"/>
          <w:szCs w:val="24"/>
          <w:lang w:val="fr-FR" w:eastAsia="es-ES"/>
        </w:rPr>
        <w:t>Problèmes de linguistique générale 1</w:t>
      </w:r>
      <w:r w:rsidRPr="006D5058">
        <w:rPr>
          <w:rFonts w:ascii="Times New Roman" w:eastAsia="Times New Roman" w:hAnsi="Times New Roman" w:cs="Times New Roman"/>
          <w:sz w:val="24"/>
          <w:szCs w:val="24"/>
          <w:lang w:val="fr-FR" w:eastAsia="es-ES"/>
        </w:rPr>
        <w:t xml:space="preserve">., Paris, Gallimard.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BENVENISTE E. [1974], </w:t>
      </w:r>
      <w:r w:rsidRPr="006D5058">
        <w:rPr>
          <w:rFonts w:ascii="Times New Roman" w:eastAsia="Times New Roman" w:hAnsi="Times New Roman" w:cs="Times New Roman"/>
          <w:i/>
          <w:iCs/>
          <w:sz w:val="24"/>
          <w:szCs w:val="24"/>
          <w:lang w:val="fr-FR" w:eastAsia="es-ES"/>
        </w:rPr>
        <w:t>Problèmes de linguistique générale 2</w:t>
      </w:r>
      <w:r w:rsidRPr="006D5058">
        <w:rPr>
          <w:rFonts w:ascii="Times New Roman" w:eastAsia="Times New Roman" w:hAnsi="Times New Roman" w:cs="Times New Roman"/>
          <w:sz w:val="24"/>
          <w:szCs w:val="24"/>
          <w:lang w:val="fr-FR" w:eastAsia="es-ES"/>
        </w:rPr>
        <w:t>., Paris, Gallimard.</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DUCROT O. et al. [1980], </w:t>
      </w:r>
      <w:r w:rsidRPr="006D5058">
        <w:rPr>
          <w:rFonts w:ascii="Times New Roman" w:eastAsia="Times New Roman" w:hAnsi="Times New Roman" w:cs="Times New Roman"/>
          <w:i/>
          <w:iCs/>
          <w:sz w:val="24"/>
          <w:szCs w:val="24"/>
          <w:lang w:val="fr-FR" w:eastAsia="es-ES"/>
        </w:rPr>
        <w:t>Les Mots du discours</w:t>
      </w:r>
      <w:r w:rsidRPr="006D5058">
        <w:rPr>
          <w:rFonts w:ascii="Times New Roman" w:eastAsia="Times New Roman" w:hAnsi="Times New Roman" w:cs="Times New Roman"/>
          <w:sz w:val="24"/>
          <w:szCs w:val="24"/>
          <w:lang w:val="fr-FR" w:eastAsia="es-ES"/>
        </w:rPr>
        <w:t>, Paris, Minuit.</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DUCROT O. [1980], </w:t>
      </w:r>
      <w:r w:rsidRPr="006D5058">
        <w:rPr>
          <w:rFonts w:ascii="Times New Roman" w:eastAsia="Times New Roman" w:hAnsi="Times New Roman" w:cs="Times New Roman"/>
          <w:i/>
          <w:iCs/>
          <w:sz w:val="24"/>
          <w:szCs w:val="24"/>
          <w:lang w:val="fr-FR" w:eastAsia="es-ES"/>
        </w:rPr>
        <w:t>Dire et ne pas dire</w:t>
      </w:r>
      <w:r w:rsidRPr="006D5058">
        <w:rPr>
          <w:rFonts w:ascii="Times New Roman" w:eastAsia="Times New Roman" w:hAnsi="Times New Roman" w:cs="Times New Roman"/>
          <w:sz w:val="24"/>
          <w:szCs w:val="24"/>
          <w:lang w:val="fr-FR" w:eastAsia="es-ES"/>
        </w:rPr>
        <w:t>, Paris, Hermann.</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GRIZE J-B. [1990], </w:t>
      </w:r>
      <w:r w:rsidRPr="006D5058">
        <w:rPr>
          <w:rFonts w:ascii="Times New Roman" w:eastAsia="Times New Roman" w:hAnsi="Times New Roman" w:cs="Times New Roman"/>
          <w:i/>
          <w:iCs/>
          <w:sz w:val="24"/>
          <w:szCs w:val="24"/>
          <w:lang w:val="fr-FR" w:eastAsia="es-ES"/>
        </w:rPr>
        <w:t>Logique et langage</w:t>
      </w:r>
      <w:r w:rsidRPr="006D5058">
        <w:rPr>
          <w:rFonts w:ascii="Times New Roman" w:eastAsia="Times New Roman" w:hAnsi="Times New Roman" w:cs="Times New Roman"/>
          <w:sz w:val="24"/>
          <w:szCs w:val="24"/>
          <w:lang w:val="fr-FR" w:eastAsia="es-ES"/>
        </w:rPr>
        <w:t>, Paris, Ophrys.</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KERBRAT-ORECCHIONI C. [1980], </w:t>
      </w:r>
      <w:r w:rsidRPr="006D5058">
        <w:rPr>
          <w:rFonts w:ascii="Times New Roman" w:eastAsia="Times New Roman" w:hAnsi="Times New Roman" w:cs="Times New Roman"/>
          <w:i/>
          <w:iCs/>
          <w:sz w:val="24"/>
          <w:szCs w:val="24"/>
          <w:lang w:val="fr-FR" w:eastAsia="es-ES"/>
        </w:rPr>
        <w:t>L’Énonciation de la subjectivité dans le langage</w:t>
      </w:r>
      <w:r w:rsidRPr="006D5058">
        <w:rPr>
          <w:rFonts w:ascii="Times New Roman" w:eastAsia="Times New Roman" w:hAnsi="Times New Roman" w:cs="Times New Roman"/>
          <w:sz w:val="24"/>
          <w:szCs w:val="24"/>
          <w:lang w:val="fr-FR" w:eastAsia="es-ES"/>
        </w:rPr>
        <w:t>, Paris, Colin.</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KOREN R. [1996], </w:t>
      </w:r>
      <w:r w:rsidRPr="006D5058">
        <w:rPr>
          <w:rFonts w:ascii="Times New Roman" w:eastAsia="Times New Roman" w:hAnsi="Times New Roman" w:cs="Times New Roman"/>
          <w:i/>
          <w:iCs/>
          <w:sz w:val="24"/>
          <w:szCs w:val="24"/>
          <w:lang w:val="fr-FR" w:eastAsia="es-ES"/>
        </w:rPr>
        <w:t>Les Enjeux éthiques de l’écriture de presse ou la mise en mots du terrorisme</w:t>
      </w:r>
      <w:r w:rsidRPr="006D5058">
        <w:rPr>
          <w:rFonts w:ascii="Times New Roman" w:eastAsia="Times New Roman" w:hAnsi="Times New Roman" w:cs="Times New Roman"/>
          <w:sz w:val="24"/>
          <w:szCs w:val="24"/>
          <w:lang w:val="fr-FR" w:eastAsia="es-ES"/>
        </w:rPr>
        <w:t>, Paris, L’Harmattan.</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i/>
          <w:iCs/>
          <w:sz w:val="24"/>
          <w:szCs w:val="24"/>
          <w:lang w:val="fr-FR" w:eastAsia="es-ES"/>
        </w:rPr>
        <w:t>Questions de communications</w:t>
      </w:r>
      <w:r w:rsidRPr="006D5058">
        <w:rPr>
          <w:rFonts w:ascii="Times New Roman" w:eastAsia="Times New Roman" w:hAnsi="Times New Roman" w:cs="Times New Roman"/>
          <w:sz w:val="24"/>
          <w:szCs w:val="24"/>
          <w:lang w:val="fr-FR" w:eastAsia="es-ES"/>
        </w:rPr>
        <w:t xml:space="preserve"> [2002] 2 et [2003] 3 « Echanges », « L’engagement des chercheurs », sous la direction de B. Fleury-Vilatte et J. Walter.</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i/>
          <w:iCs/>
          <w:sz w:val="24"/>
          <w:szCs w:val="24"/>
          <w:lang w:val="fr-FR" w:eastAsia="es-ES"/>
        </w:rPr>
        <w:t>Langue française</w:t>
      </w:r>
      <w:r w:rsidRPr="006D5058">
        <w:rPr>
          <w:rFonts w:ascii="Times New Roman" w:eastAsia="Times New Roman" w:hAnsi="Times New Roman" w:cs="Times New Roman"/>
          <w:sz w:val="24"/>
          <w:szCs w:val="24"/>
          <w:lang w:val="fr-FR" w:eastAsia="es-ES"/>
        </w:rPr>
        <w:t xml:space="preserve"> [2000], 128, « L’ancrage énonciatif des récits de fiction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PERELMAN Ch. &amp; OLBRECHTS TYTECA O. [1970 ; 1ère éd. 1958], </w:t>
      </w:r>
      <w:r w:rsidRPr="006D5058">
        <w:rPr>
          <w:rFonts w:ascii="Times New Roman" w:eastAsia="Times New Roman" w:hAnsi="Times New Roman" w:cs="Times New Roman"/>
          <w:i/>
          <w:iCs/>
          <w:sz w:val="24"/>
          <w:szCs w:val="24"/>
          <w:lang w:val="fr-FR" w:eastAsia="es-ES"/>
        </w:rPr>
        <w:t>Traité de l’argumentation. La nouvelle rhétorique</w:t>
      </w:r>
      <w:r w:rsidRPr="006D5058">
        <w:rPr>
          <w:rFonts w:ascii="Times New Roman" w:eastAsia="Times New Roman" w:hAnsi="Times New Roman" w:cs="Times New Roman"/>
          <w:sz w:val="24"/>
          <w:szCs w:val="24"/>
          <w:lang w:val="fr-FR" w:eastAsia="es-ES"/>
        </w:rPr>
        <w:t xml:space="preserve">, Éditions de l’Université de Bruxelles.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lastRenderedPageBreak/>
        <w:t xml:space="preserve">PHILIPPE G. [2002], « Effacement énonciatif et pragmatique des textes sans locuteur », </w:t>
      </w:r>
      <w:r w:rsidRPr="006D5058">
        <w:rPr>
          <w:rFonts w:ascii="Times New Roman" w:eastAsia="Times New Roman" w:hAnsi="Times New Roman" w:cs="Times New Roman"/>
          <w:i/>
          <w:iCs/>
          <w:sz w:val="24"/>
          <w:szCs w:val="24"/>
          <w:lang w:val="fr-FR" w:eastAsia="es-ES"/>
        </w:rPr>
        <w:t>Pragmatique et analyse des textes</w:t>
      </w:r>
      <w:r w:rsidRPr="006D5058">
        <w:rPr>
          <w:rFonts w:ascii="Times New Roman" w:eastAsia="Times New Roman" w:hAnsi="Times New Roman" w:cs="Times New Roman"/>
          <w:sz w:val="24"/>
          <w:szCs w:val="24"/>
          <w:lang w:val="fr-FR" w:eastAsia="es-ES"/>
        </w:rPr>
        <w:t xml:space="preserve">, Ruth </w:t>
      </w:r>
      <w:proofErr w:type="spellStart"/>
      <w:r w:rsidRPr="006D5058">
        <w:rPr>
          <w:rFonts w:ascii="Times New Roman" w:eastAsia="Times New Roman" w:hAnsi="Times New Roman" w:cs="Times New Roman"/>
          <w:sz w:val="24"/>
          <w:szCs w:val="24"/>
          <w:lang w:val="fr-FR" w:eastAsia="es-ES"/>
        </w:rPr>
        <w:t>Amossy</w:t>
      </w:r>
      <w:proofErr w:type="spellEnd"/>
      <w:r w:rsidRPr="006D5058">
        <w:rPr>
          <w:rFonts w:ascii="Times New Roman" w:eastAsia="Times New Roman" w:hAnsi="Times New Roman" w:cs="Times New Roman"/>
          <w:sz w:val="24"/>
          <w:szCs w:val="24"/>
          <w:lang w:val="fr-FR" w:eastAsia="es-ES"/>
        </w:rPr>
        <w:t xml:space="preserve">, éd. Département de Français, Université de Tel </w:t>
      </w:r>
      <w:proofErr w:type="spellStart"/>
      <w:r w:rsidRPr="006D5058">
        <w:rPr>
          <w:rFonts w:ascii="Times New Roman" w:eastAsia="Times New Roman" w:hAnsi="Times New Roman" w:cs="Times New Roman"/>
          <w:sz w:val="24"/>
          <w:szCs w:val="24"/>
          <w:lang w:val="fr-FR" w:eastAsia="es-ES"/>
        </w:rPr>
        <w:t>Aviv</w:t>
      </w:r>
      <w:proofErr w:type="spellEnd"/>
      <w:r w:rsidRPr="006D5058">
        <w:rPr>
          <w:rFonts w:ascii="Times New Roman" w:eastAsia="Times New Roman" w:hAnsi="Times New Roman" w:cs="Times New Roman"/>
          <w:sz w:val="24"/>
          <w:szCs w:val="24"/>
          <w:lang w:val="fr-FR" w:eastAsia="es-ES"/>
        </w:rPr>
        <w:t xml:space="preserve">.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PLANTIN Ch. [1996], </w:t>
      </w:r>
      <w:r w:rsidRPr="006D5058">
        <w:rPr>
          <w:rFonts w:ascii="Times New Roman" w:eastAsia="Times New Roman" w:hAnsi="Times New Roman" w:cs="Times New Roman"/>
          <w:i/>
          <w:iCs/>
          <w:sz w:val="24"/>
          <w:szCs w:val="24"/>
          <w:lang w:val="fr-FR" w:eastAsia="es-ES"/>
        </w:rPr>
        <w:t>L’Argumentation</w:t>
      </w:r>
      <w:r w:rsidRPr="006D5058">
        <w:rPr>
          <w:rFonts w:ascii="Times New Roman" w:eastAsia="Times New Roman" w:hAnsi="Times New Roman" w:cs="Times New Roman"/>
          <w:sz w:val="24"/>
          <w:szCs w:val="24"/>
          <w:lang w:val="fr-FR" w:eastAsia="es-ES"/>
        </w:rPr>
        <w:t xml:space="preserve">, Paris, Le Seuil, « Mémo ».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PLANTIN Ch. [2003], « Des polémistes aux </w:t>
      </w:r>
      <w:proofErr w:type="spellStart"/>
      <w:r w:rsidRPr="006D5058">
        <w:rPr>
          <w:rFonts w:ascii="Times New Roman" w:eastAsia="Times New Roman" w:hAnsi="Times New Roman" w:cs="Times New Roman"/>
          <w:sz w:val="24"/>
          <w:szCs w:val="24"/>
          <w:lang w:val="fr-FR" w:eastAsia="es-ES"/>
        </w:rPr>
        <w:t>polémiqueurs</w:t>
      </w:r>
      <w:proofErr w:type="spellEnd"/>
      <w:r w:rsidRPr="006D5058">
        <w:rPr>
          <w:rFonts w:ascii="Times New Roman" w:eastAsia="Times New Roman" w:hAnsi="Times New Roman" w:cs="Times New Roman"/>
          <w:sz w:val="24"/>
          <w:szCs w:val="24"/>
          <w:lang w:val="fr-FR" w:eastAsia="es-ES"/>
        </w:rPr>
        <w:t xml:space="preserve"> », La parole polémique, études réunies par G. </w:t>
      </w:r>
      <w:proofErr w:type="spellStart"/>
      <w:r w:rsidRPr="006D5058">
        <w:rPr>
          <w:rFonts w:ascii="Times New Roman" w:eastAsia="Times New Roman" w:hAnsi="Times New Roman" w:cs="Times New Roman"/>
          <w:sz w:val="24"/>
          <w:szCs w:val="24"/>
          <w:lang w:val="fr-FR" w:eastAsia="es-ES"/>
        </w:rPr>
        <w:t>Declerc</w:t>
      </w:r>
      <w:proofErr w:type="spellEnd"/>
      <w:r w:rsidRPr="006D5058">
        <w:rPr>
          <w:rFonts w:ascii="Times New Roman" w:eastAsia="Times New Roman" w:hAnsi="Times New Roman" w:cs="Times New Roman"/>
          <w:sz w:val="24"/>
          <w:szCs w:val="24"/>
          <w:lang w:val="fr-FR" w:eastAsia="es-ES"/>
        </w:rPr>
        <w:t xml:space="preserve">, M. Murat et J. </w:t>
      </w:r>
      <w:proofErr w:type="spellStart"/>
      <w:r w:rsidRPr="006D5058">
        <w:rPr>
          <w:rFonts w:ascii="Times New Roman" w:eastAsia="Times New Roman" w:hAnsi="Times New Roman" w:cs="Times New Roman"/>
          <w:sz w:val="24"/>
          <w:szCs w:val="24"/>
          <w:lang w:val="fr-FR" w:eastAsia="es-ES"/>
        </w:rPr>
        <w:t>Dangel</w:t>
      </w:r>
      <w:proofErr w:type="spellEnd"/>
      <w:r w:rsidRPr="006D5058">
        <w:rPr>
          <w:rFonts w:ascii="Times New Roman" w:eastAsia="Times New Roman" w:hAnsi="Times New Roman" w:cs="Times New Roman"/>
          <w:sz w:val="24"/>
          <w:szCs w:val="24"/>
          <w:lang w:val="fr-FR" w:eastAsia="es-ES"/>
        </w:rPr>
        <w:t xml:space="preserve">, Paris, Champion. </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RABATEL A. [2003], « L’effacement énonciatif et ses effets pragmatiques de </w:t>
      </w:r>
      <w:proofErr w:type="spellStart"/>
      <w:r w:rsidRPr="006D5058">
        <w:rPr>
          <w:rFonts w:ascii="Times New Roman" w:eastAsia="Times New Roman" w:hAnsi="Times New Roman" w:cs="Times New Roman"/>
          <w:sz w:val="24"/>
          <w:szCs w:val="24"/>
          <w:lang w:val="fr-FR" w:eastAsia="es-ES"/>
        </w:rPr>
        <w:t>sous-et</w:t>
      </w:r>
      <w:proofErr w:type="spellEnd"/>
      <w:r w:rsidRPr="006D5058">
        <w:rPr>
          <w:rFonts w:ascii="Times New Roman" w:eastAsia="Times New Roman" w:hAnsi="Times New Roman" w:cs="Times New Roman"/>
          <w:sz w:val="24"/>
          <w:szCs w:val="24"/>
          <w:lang w:val="fr-FR" w:eastAsia="es-ES"/>
        </w:rPr>
        <w:t xml:space="preserve"> de sur-énonciation », JM. Lopez Munoz, S. </w:t>
      </w:r>
      <w:proofErr w:type="spellStart"/>
      <w:r w:rsidRPr="006D5058">
        <w:rPr>
          <w:rFonts w:ascii="Times New Roman" w:eastAsia="Times New Roman" w:hAnsi="Times New Roman" w:cs="Times New Roman"/>
          <w:sz w:val="24"/>
          <w:szCs w:val="24"/>
          <w:lang w:val="fr-FR" w:eastAsia="es-ES"/>
        </w:rPr>
        <w:t>Marnette</w:t>
      </w:r>
      <w:proofErr w:type="spellEnd"/>
      <w:r w:rsidRPr="006D5058">
        <w:rPr>
          <w:rFonts w:ascii="Times New Roman" w:eastAsia="Times New Roman" w:hAnsi="Times New Roman" w:cs="Times New Roman"/>
          <w:sz w:val="24"/>
          <w:szCs w:val="24"/>
          <w:lang w:val="fr-FR" w:eastAsia="es-ES"/>
        </w:rPr>
        <w:t xml:space="preserve"> et L. Rosier (</w:t>
      </w:r>
      <w:proofErr w:type="spellStart"/>
      <w:r w:rsidRPr="006D5058">
        <w:rPr>
          <w:rFonts w:ascii="Times New Roman" w:eastAsia="Times New Roman" w:hAnsi="Times New Roman" w:cs="Times New Roman"/>
          <w:sz w:val="24"/>
          <w:szCs w:val="24"/>
          <w:lang w:val="fr-FR" w:eastAsia="es-ES"/>
        </w:rPr>
        <w:t>éds</w:t>
      </w:r>
      <w:proofErr w:type="spellEnd"/>
      <w:r w:rsidRPr="006D5058">
        <w:rPr>
          <w:rFonts w:ascii="Times New Roman" w:eastAsia="Times New Roman" w:hAnsi="Times New Roman" w:cs="Times New Roman"/>
          <w:sz w:val="24"/>
          <w:szCs w:val="24"/>
          <w:lang w:val="fr-FR" w:eastAsia="es-ES"/>
        </w:rPr>
        <w:t xml:space="preserve">), </w:t>
      </w:r>
      <w:proofErr w:type="spellStart"/>
      <w:r w:rsidRPr="006D5058">
        <w:rPr>
          <w:rFonts w:ascii="Times New Roman" w:eastAsia="Times New Roman" w:hAnsi="Times New Roman" w:cs="Times New Roman"/>
          <w:i/>
          <w:iCs/>
          <w:sz w:val="24"/>
          <w:szCs w:val="24"/>
          <w:lang w:val="fr-FR" w:eastAsia="es-ES"/>
        </w:rPr>
        <w:t>Estudios</w:t>
      </w:r>
      <w:proofErr w:type="spellEnd"/>
      <w:r w:rsidRPr="006D5058">
        <w:rPr>
          <w:rFonts w:ascii="Times New Roman" w:eastAsia="Times New Roman" w:hAnsi="Times New Roman" w:cs="Times New Roman"/>
          <w:i/>
          <w:iCs/>
          <w:sz w:val="24"/>
          <w:szCs w:val="24"/>
          <w:lang w:val="fr-FR" w:eastAsia="es-ES"/>
        </w:rPr>
        <w:t xml:space="preserve"> de </w:t>
      </w:r>
      <w:proofErr w:type="spellStart"/>
      <w:r w:rsidRPr="006D5058">
        <w:rPr>
          <w:rFonts w:ascii="Times New Roman" w:eastAsia="Times New Roman" w:hAnsi="Times New Roman" w:cs="Times New Roman"/>
          <w:i/>
          <w:iCs/>
          <w:sz w:val="24"/>
          <w:szCs w:val="24"/>
          <w:lang w:val="fr-FR" w:eastAsia="es-ES"/>
        </w:rPr>
        <w:t>Lengua</w:t>
      </w:r>
      <w:proofErr w:type="spellEnd"/>
      <w:r w:rsidRPr="006D5058">
        <w:rPr>
          <w:rFonts w:ascii="Times New Roman" w:eastAsia="Times New Roman" w:hAnsi="Times New Roman" w:cs="Times New Roman"/>
          <w:i/>
          <w:iCs/>
          <w:sz w:val="24"/>
          <w:szCs w:val="24"/>
          <w:lang w:val="fr-FR" w:eastAsia="es-ES"/>
        </w:rPr>
        <w:t xml:space="preserve"> y </w:t>
      </w:r>
      <w:proofErr w:type="spellStart"/>
      <w:r w:rsidRPr="006D5058">
        <w:rPr>
          <w:rFonts w:ascii="Times New Roman" w:eastAsia="Times New Roman" w:hAnsi="Times New Roman" w:cs="Times New Roman"/>
          <w:i/>
          <w:iCs/>
          <w:sz w:val="24"/>
          <w:szCs w:val="24"/>
          <w:lang w:val="fr-FR" w:eastAsia="es-ES"/>
        </w:rPr>
        <w:t>Literatura</w:t>
      </w:r>
      <w:proofErr w:type="spellEnd"/>
      <w:r w:rsidRPr="006D5058">
        <w:rPr>
          <w:rFonts w:ascii="Times New Roman" w:eastAsia="Times New Roman" w:hAnsi="Times New Roman" w:cs="Times New Roman"/>
          <w:i/>
          <w:iCs/>
          <w:sz w:val="24"/>
          <w:szCs w:val="24"/>
          <w:lang w:val="fr-FR" w:eastAsia="es-ES"/>
        </w:rPr>
        <w:t xml:space="preserve"> </w:t>
      </w:r>
      <w:proofErr w:type="spellStart"/>
      <w:r w:rsidRPr="006D5058">
        <w:rPr>
          <w:rFonts w:ascii="Times New Roman" w:eastAsia="Times New Roman" w:hAnsi="Times New Roman" w:cs="Times New Roman"/>
          <w:i/>
          <w:iCs/>
          <w:sz w:val="24"/>
          <w:szCs w:val="24"/>
          <w:lang w:val="fr-FR" w:eastAsia="es-ES"/>
        </w:rPr>
        <w:t>Francesas</w:t>
      </w:r>
      <w:proofErr w:type="spellEnd"/>
      <w:r w:rsidRPr="006D5058">
        <w:rPr>
          <w:rFonts w:ascii="Times New Roman" w:eastAsia="Times New Roman" w:hAnsi="Times New Roman" w:cs="Times New Roman"/>
          <w:sz w:val="24"/>
          <w:szCs w:val="24"/>
          <w:lang w:val="fr-FR" w:eastAsia="es-ES"/>
        </w:rPr>
        <w:t>, 14, pp.27-48, Université de Cadix.</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proofErr w:type="spellStart"/>
      <w:r w:rsidRPr="006D5058">
        <w:rPr>
          <w:rFonts w:ascii="Times New Roman" w:eastAsia="Times New Roman" w:hAnsi="Times New Roman" w:cs="Times New Roman"/>
          <w:i/>
          <w:iCs/>
          <w:sz w:val="24"/>
          <w:szCs w:val="24"/>
          <w:lang w:val="fr-FR" w:eastAsia="es-ES"/>
        </w:rPr>
        <w:t>Semen</w:t>
      </w:r>
      <w:proofErr w:type="spellEnd"/>
      <w:r w:rsidRPr="006D5058">
        <w:rPr>
          <w:rFonts w:ascii="Times New Roman" w:eastAsia="Times New Roman" w:hAnsi="Times New Roman" w:cs="Times New Roman"/>
          <w:sz w:val="24"/>
          <w:szCs w:val="24"/>
          <w:lang w:val="fr-FR" w:eastAsia="es-ES"/>
        </w:rPr>
        <w:t xml:space="preserve"> 13 [2002-2], </w:t>
      </w:r>
      <w:r w:rsidRPr="006D5058">
        <w:rPr>
          <w:rFonts w:ascii="Times New Roman" w:eastAsia="Times New Roman" w:hAnsi="Times New Roman" w:cs="Times New Roman"/>
          <w:i/>
          <w:iCs/>
          <w:sz w:val="24"/>
          <w:szCs w:val="24"/>
          <w:lang w:val="fr-FR" w:eastAsia="es-ES"/>
        </w:rPr>
        <w:t>Genres de la presse écrite et analyse de discours</w:t>
      </w:r>
      <w:r w:rsidRPr="006D5058">
        <w:rPr>
          <w:rFonts w:ascii="Times New Roman" w:eastAsia="Times New Roman" w:hAnsi="Times New Roman" w:cs="Times New Roman"/>
          <w:sz w:val="24"/>
          <w:szCs w:val="24"/>
          <w:lang w:val="fr-FR" w:eastAsia="es-ES"/>
        </w:rPr>
        <w:t xml:space="preserve">, dirigé par Jean-Michel Adam, Thierry Herman et Gilles </w:t>
      </w:r>
      <w:proofErr w:type="spellStart"/>
      <w:r w:rsidRPr="006D5058">
        <w:rPr>
          <w:rFonts w:ascii="Times New Roman" w:eastAsia="Times New Roman" w:hAnsi="Times New Roman" w:cs="Times New Roman"/>
          <w:sz w:val="24"/>
          <w:szCs w:val="24"/>
          <w:lang w:val="fr-FR" w:eastAsia="es-ES"/>
        </w:rPr>
        <w:t>Lugrin</w:t>
      </w:r>
      <w:proofErr w:type="spellEnd"/>
      <w:r w:rsidRPr="006D5058">
        <w:rPr>
          <w:rFonts w:ascii="Times New Roman" w:eastAsia="Times New Roman" w:hAnsi="Times New Roman" w:cs="Times New Roman"/>
          <w:sz w:val="24"/>
          <w:szCs w:val="24"/>
          <w:lang w:val="fr-FR" w:eastAsia="es-ES"/>
        </w:rPr>
        <w:t>, PUF-C.</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val="fr-FR" w:eastAsia="es-ES"/>
        </w:rPr>
      </w:pPr>
      <w:r w:rsidRPr="006D5058">
        <w:rPr>
          <w:rFonts w:ascii="Times New Roman" w:eastAsia="Times New Roman" w:hAnsi="Times New Roman" w:cs="Times New Roman"/>
          <w:sz w:val="24"/>
          <w:szCs w:val="24"/>
          <w:lang w:val="fr-FR" w:eastAsia="es-ES"/>
        </w:rPr>
        <w:t xml:space="preserve">VION Robert [2001], « ‘Effacement énonciatif’ et stratégies discursives », </w:t>
      </w:r>
      <w:r w:rsidRPr="006D5058">
        <w:rPr>
          <w:rFonts w:ascii="Times New Roman" w:eastAsia="Times New Roman" w:hAnsi="Times New Roman" w:cs="Times New Roman"/>
          <w:i/>
          <w:iCs/>
          <w:sz w:val="24"/>
          <w:szCs w:val="24"/>
          <w:lang w:val="fr-FR" w:eastAsia="es-ES"/>
        </w:rPr>
        <w:t>De la syntaxe à la narratologie énonciative,</w:t>
      </w:r>
      <w:r w:rsidRPr="006D5058">
        <w:rPr>
          <w:rFonts w:ascii="Times New Roman" w:eastAsia="Times New Roman" w:hAnsi="Times New Roman" w:cs="Times New Roman"/>
          <w:sz w:val="24"/>
          <w:szCs w:val="24"/>
          <w:lang w:val="fr-FR" w:eastAsia="es-ES"/>
        </w:rPr>
        <w:t xml:space="preserve"> M. De </w:t>
      </w:r>
      <w:proofErr w:type="spellStart"/>
      <w:r w:rsidRPr="006D5058">
        <w:rPr>
          <w:rFonts w:ascii="Times New Roman" w:eastAsia="Times New Roman" w:hAnsi="Times New Roman" w:cs="Times New Roman"/>
          <w:sz w:val="24"/>
          <w:szCs w:val="24"/>
          <w:lang w:val="fr-FR" w:eastAsia="es-ES"/>
        </w:rPr>
        <w:t>Mattia</w:t>
      </w:r>
      <w:proofErr w:type="spellEnd"/>
      <w:r w:rsidRPr="006D5058">
        <w:rPr>
          <w:rFonts w:ascii="Times New Roman" w:eastAsia="Times New Roman" w:hAnsi="Times New Roman" w:cs="Times New Roman"/>
          <w:sz w:val="24"/>
          <w:szCs w:val="24"/>
          <w:lang w:val="fr-FR" w:eastAsia="es-ES"/>
        </w:rPr>
        <w:t xml:space="preserve"> et A. Joly (</w:t>
      </w:r>
      <w:proofErr w:type="spellStart"/>
      <w:r w:rsidRPr="006D5058">
        <w:rPr>
          <w:rFonts w:ascii="Times New Roman" w:eastAsia="Times New Roman" w:hAnsi="Times New Roman" w:cs="Times New Roman"/>
          <w:sz w:val="24"/>
          <w:szCs w:val="24"/>
          <w:lang w:val="fr-FR" w:eastAsia="es-ES"/>
        </w:rPr>
        <w:t>éds</w:t>
      </w:r>
      <w:proofErr w:type="spellEnd"/>
      <w:r w:rsidRPr="006D5058">
        <w:rPr>
          <w:rFonts w:ascii="Times New Roman" w:eastAsia="Times New Roman" w:hAnsi="Times New Roman" w:cs="Times New Roman"/>
          <w:sz w:val="24"/>
          <w:szCs w:val="24"/>
          <w:lang w:val="fr-FR" w:eastAsia="es-ES"/>
        </w:rPr>
        <w:t xml:space="preserve">), Gap, Paris, Ophrys. </w:t>
      </w:r>
    </w:p>
    <w:p w:rsidR="006D5058" w:rsidRPr="006D5058" w:rsidRDefault="0059535B" w:rsidP="00604640">
      <w:pPr>
        <w:spacing w:after="0" w:line="240" w:lineRule="auto"/>
        <w:jc w:val="both"/>
        <w:rPr>
          <w:rFonts w:ascii="Times New Roman" w:eastAsia="Times New Roman" w:hAnsi="Times New Roman" w:cs="Times New Roman"/>
          <w:sz w:val="24"/>
          <w:szCs w:val="24"/>
          <w:lang w:val="fr-FR" w:eastAsia="es-ES"/>
        </w:rPr>
      </w:pPr>
      <w:hyperlink r:id="rId5" w:anchor="article-2305" w:history="1">
        <w:r w:rsidR="006D5058" w:rsidRPr="006D5058">
          <w:rPr>
            <w:rFonts w:ascii="Times New Roman" w:eastAsia="Times New Roman" w:hAnsi="Times New Roman" w:cs="Times New Roman"/>
            <w:color w:val="0000FF"/>
            <w:sz w:val="24"/>
            <w:szCs w:val="24"/>
            <w:u w:val="single"/>
            <w:lang w:val="fr-FR" w:eastAsia="es-ES"/>
          </w:rPr>
          <w:t>Haut de page</w:t>
        </w:r>
      </w:hyperlink>
    </w:p>
    <w:p w:rsidR="006D5058" w:rsidRPr="006D5058" w:rsidRDefault="006D5058" w:rsidP="00604640">
      <w:pPr>
        <w:spacing w:before="100" w:beforeAutospacing="1" w:after="100" w:afterAutospacing="1" w:line="240" w:lineRule="auto"/>
        <w:jc w:val="both"/>
        <w:outlineLvl w:val="1"/>
        <w:rPr>
          <w:rFonts w:ascii="Times New Roman" w:eastAsia="Times New Roman" w:hAnsi="Times New Roman" w:cs="Times New Roman"/>
          <w:b/>
          <w:bCs/>
          <w:sz w:val="36"/>
          <w:szCs w:val="36"/>
          <w:lang w:val="fr-FR" w:eastAsia="es-ES"/>
        </w:rPr>
      </w:pPr>
      <w:r w:rsidRPr="006D5058">
        <w:rPr>
          <w:rFonts w:ascii="Times New Roman" w:eastAsia="Times New Roman" w:hAnsi="Times New Roman" w:cs="Times New Roman"/>
          <w:b/>
          <w:bCs/>
          <w:sz w:val="36"/>
          <w:szCs w:val="36"/>
          <w:lang w:val="fr-FR" w:eastAsia="es-ES"/>
        </w:rPr>
        <w:t>Pour citer cet article</w:t>
      </w:r>
    </w:p>
    <w:p w:rsidR="006D5058" w:rsidRPr="006D5058" w:rsidRDefault="006D5058" w:rsidP="00604640">
      <w:pPr>
        <w:spacing w:before="100" w:beforeAutospacing="1" w:after="100" w:afterAutospacing="1" w:line="240" w:lineRule="auto"/>
        <w:jc w:val="both"/>
        <w:outlineLvl w:val="2"/>
        <w:rPr>
          <w:rFonts w:ascii="Times New Roman" w:eastAsia="Times New Roman" w:hAnsi="Times New Roman" w:cs="Times New Roman"/>
          <w:b/>
          <w:bCs/>
          <w:sz w:val="27"/>
          <w:szCs w:val="27"/>
          <w:lang w:val="fr-FR" w:eastAsia="es-ES"/>
        </w:rPr>
      </w:pPr>
      <w:r w:rsidRPr="006D5058">
        <w:rPr>
          <w:rFonts w:ascii="Times New Roman" w:eastAsia="Times New Roman" w:hAnsi="Times New Roman" w:cs="Times New Roman"/>
          <w:b/>
          <w:bCs/>
          <w:sz w:val="27"/>
          <w:szCs w:val="27"/>
          <w:lang w:val="fr-FR" w:eastAsia="es-ES"/>
        </w:rPr>
        <w:t>Référence électronique</w:t>
      </w:r>
    </w:p>
    <w:p w:rsidR="006D5058" w:rsidRPr="006D5058" w:rsidRDefault="006D5058" w:rsidP="0060464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D5058">
        <w:rPr>
          <w:rFonts w:ascii="Times New Roman" w:eastAsia="Times New Roman" w:hAnsi="Times New Roman" w:cs="Times New Roman"/>
          <w:b/>
          <w:bCs/>
          <w:sz w:val="24"/>
          <w:szCs w:val="24"/>
          <w:lang w:val="fr-FR" w:eastAsia="es-ES"/>
        </w:rPr>
        <w:t xml:space="preserve">Ruth </w:t>
      </w:r>
      <w:proofErr w:type="spellStart"/>
      <w:r w:rsidRPr="006D5058">
        <w:rPr>
          <w:rFonts w:ascii="Times New Roman" w:eastAsia="Times New Roman" w:hAnsi="Times New Roman" w:cs="Times New Roman"/>
          <w:b/>
          <w:bCs/>
          <w:sz w:val="24"/>
          <w:szCs w:val="24"/>
          <w:lang w:val="fr-FR" w:eastAsia="es-ES"/>
        </w:rPr>
        <w:t>Amossy</w:t>
      </w:r>
      <w:proofErr w:type="spellEnd"/>
      <w:r w:rsidRPr="006D5058">
        <w:rPr>
          <w:rFonts w:ascii="Times New Roman" w:eastAsia="Times New Roman" w:hAnsi="Times New Roman" w:cs="Times New Roman"/>
          <w:b/>
          <w:bCs/>
          <w:sz w:val="24"/>
          <w:szCs w:val="24"/>
          <w:lang w:val="fr-FR" w:eastAsia="es-ES"/>
        </w:rPr>
        <w:t xml:space="preserve"> et Roselyne </w:t>
      </w:r>
      <w:proofErr w:type="spellStart"/>
      <w:r w:rsidRPr="006D5058">
        <w:rPr>
          <w:rFonts w:ascii="Times New Roman" w:eastAsia="Times New Roman" w:hAnsi="Times New Roman" w:cs="Times New Roman"/>
          <w:b/>
          <w:bCs/>
          <w:sz w:val="24"/>
          <w:szCs w:val="24"/>
          <w:lang w:val="fr-FR" w:eastAsia="es-ES"/>
        </w:rPr>
        <w:t>Koren</w:t>
      </w:r>
      <w:proofErr w:type="spellEnd"/>
      <w:r w:rsidRPr="006D5058">
        <w:rPr>
          <w:rFonts w:ascii="Times New Roman" w:eastAsia="Times New Roman" w:hAnsi="Times New Roman" w:cs="Times New Roman"/>
          <w:sz w:val="24"/>
          <w:szCs w:val="24"/>
          <w:lang w:val="fr-FR" w:eastAsia="es-ES"/>
        </w:rPr>
        <w:t xml:space="preserve">, « Présentation », </w:t>
      </w:r>
      <w:proofErr w:type="spellStart"/>
      <w:r w:rsidRPr="006D5058">
        <w:rPr>
          <w:rFonts w:ascii="Times New Roman" w:eastAsia="Times New Roman" w:hAnsi="Times New Roman" w:cs="Times New Roman"/>
          <w:i/>
          <w:iCs/>
          <w:sz w:val="24"/>
          <w:szCs w:val="24"/>
          <w:lang w:val="fr-FR" w:eastAsia="es-ES"/>
        </w:rPr>
        <w:t>Semen</w:t>
      </w:r>
      <w:proofErr w:type="spellEnd"/>
      <w:r w:rsidRPr="006D5058">
        <w:rPr>
          <w:rFonts w:ascii="Times New Roman" w:eastAsia="Times New Roman" w:hAnsi="Times New Roman" w:cs="Times New Roman"/>
          <w:sz w:val="24"/>
          <w:szCs w:val="24"/>
          <w:lang w:val="fr-FR" w:eastAsia="es-ES"/>
        </w:rPr>
        <w:t xml:space="preserve"> [En ligne], 17 | 2004, mis en ligne le 29 avril 2007, consulté le 05 septembre 2011. </w:t>
      </w:r>
      <w:proofErr w:type="gramStart"/>
      <w:r w:rsidRPr="006D5058">
        <w:rPr>
          <w:rFonts w:ascii="Times New Roman" w:eastAsia="Times New Roman" w:hAnsi="Times New Roman" w:cs="Times New Roman"/>
          <w:sz w:val="24"/>
          <w:szCs w:val="24"/>
          <w:lang w:eastAsia="es-ES"/>
        </w:rPr>
        <w:t>URL :</w:t>
      </w:r>
      <w:proofErr w:type="gramEnd"/>
      <w:r w:rsidRPr="006D5058">
        <w:rPr>
          <w:rFonts w:ascii="Times New Roman" w:eastAsia="Times New Roman" w:hAnsi="Times New Roman" w:cs="Times New Roman"/>
          <w:sz w:val="24"/>
          <w:szCs w:val="24"/>
          <w:lang w:eastAsia="es-ES"/>
        </w:rPr>
        <w:t xml:space="preserve"> http://semen.revues.org/2305</w:t>
      </w:r>
    </w:p>
    <w:p w:rsidR="00076DAE" w:rsidRDefault="00076DAE" w:rsidP="00604640">
      <w:pPr>
        <w:jc w:val="both"/>
      </w:pPr>
    </w:p>
    <w:sectPr w:rsidR="00076DAE" w:rsidSect="005953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5058"/>
    <w:rsid w:val="00076DAE"/>
    <w:rsid w:val="00487207"/>
    <w:rsid w:val="0059535B"/>
    <w:rsid w:val="00604640"/>
    <w:rsid w:val="006D505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9725701">
      <w:bodyDiv w:val="1"/>
      <w:marLeft w:val="0"/>
      <w:marRight w:val="0"/>
      <w:marTop w:val="0"/>
      <w:marBottom w:val="0"/>
      <w:divBdr>
        <w:top w:val="none" w:sz="0" w:space="0" w:color="auto"/>
        <w:left w:val="none" w:sz="0" w:space="0" w:color="auto"/>
        <w:bottom w:val="none" w:sz="0" w:space="0" w:color="auto"/>
        <w:right w:val="none" w:sz="0" w:space="0" w:color="auto"/>
      </w:divBdr>
      <w:divsChild>
        <w:div w:id="1003121164">
          <w:marLeft w:val="0"/>
          <w:marRight w:val="0"/>
          <w:marTop w:val="0"/>
          <w:marBottom w:val="0"/>
          <w:divBdr>
            <w:top w:val="none" w:sz="0" w:space="0" w:color="auto"/>
            <w:left w:val="none" w:sz="0" w:space="0" w:color="auto"/>
            <w:bottom w:val="none" w:sz="0" w:space="0" w:color="auto"/>
            <w:right w:val="none" w:sz="0" w:space="0" w:color="auto"/>
          </w:divBdr>
          <w:divsChild>
            <w:div w:id="1221206567">
              <w:marLeft w:val="0"/>
              <w:marRight w:val="0"/>
              <w:marTop w:val="0"/>
              <w:marBottom w:val="0"/>
              <w:divBdr>
                <w:top w:val="none" w:sz="0" w:space="0" w:color="auto"/>
                <w:left w:val="none" w:sz="0" w:space="0" w:color="auto"/>
                <w:bottom w:val="none" w:sz="0" w:space="0" w:color="auto"/>
                <w:right w:val="none" w:sz="0" w:space="0" w:color="auto"/>
              </w:divBdr>
              <w:divsChild>
                <w:div w:id="1327631968">
                  <w:marLeft w:val="0"/>
                  <w:marRight w:val="0"/>
                  <w:marTop w:val="0"/>
                  <w:marBottom w:val="0"/>
                  <w:divBdr>
                    <w:top w:val="none" w:sz="0" w:space="0" w:color="auto"/>
                    <w:left w:val="none" w:sz="0" w:space="0" w:color="auto"/>
                    <w:bottom w:val="none" w:sz="0" w:space="0" w:color="auto"/>
                    <w:right w:val="none" w:sz="0" w:space="0" w:color="auto"/>
                  </w:divBdr>
                </w:div>
                <w:div w:id="318311025">
                  <w:marLeft w:val="0"/>
                  <w:marRight w:val="0"/>
                  <w:marTop w:val="0"/>
                  <w:marBottom w:val="0"/>
                  <w:divBdr>
                    <w:top w:val="none" w:sz="0" w:space="0" w:color="auto"/>
                    <w:left w:val="none" w:sz="0" w:space="0" w:color="auto"/>
                    <w:bottom w:val="none" w:sz="0" w:space="0" w:color="auto"/>
                    <w:right w:val="none" w:sz="0" w:space="0" w:color="auto"/>
                  </w:divBdr>
                </w:div>
                <w:div w:id="3788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14">
          <w:marLeft w:val="0"/>
          <w:marRight w:val="0"/>
          <w:marTop w:val="0"/>
          <w:marBottom w:val="0"/>
          <w:divBdr>
            <w:top w:val="none" w:sz="0" w:space="0" w:color="auto"/>
            <w:left w:val="none" w:sz="0" w:space="0" w:color="auto"/>
            <w:bottom w:val="none" w:sz="0" w:space="0" w:color="auto"/>
            <w:right w:val="none" w:sz="0" w:space="0" w:color="auto"/>
          </w:divBdr>
          <w:divsChild>
            <w:div w:id="59638395">
              <w:marLeft w:val="0"/>
              <w:marRight w:val="0"/>
              <w:marTop w:val="0"/>
              <w:marBottom w:val="0"/>
              <w:divBdr>
                <w:top w:val="none" w:sz="0" w:space="0" w:color="auto"/>
                <w:left w:val="none" w:sz="0" w:space="0" w:color="auto"/>
                <w:bottom w:val="none" w:sz="0" w:space="0" w:color="auto"/>
                <w:right w:val="none" w:sz="0" w:space="0" w:color="auto"/>
              </w:divBdr>
            </w:div>
          </w:divsChild>
        </w:div>
        <w:div w:id="742065615">
          <w:marLeft w:val="0"/>
          <w:marRight w:val="0"/>
          <w:marTop w:val="0"/>
          <w:marBottom w:val="0"/>
          <w:divBdr>
            <w:top w:val="none" w:sz="0" w:space="0" w:color="auto"/>
            <w:left w:val="none" w:sz="0" w:space="0" w:color="auto"/>
            <w:bottom w:val="none" w:sz="0" w:space="0" w:color="auto"/>
            <w:right w:val="none" w:sz="0" w:space="0" w:color="auto"/>
          </w:divBdr>
        </w:div>
      </w:divsChild>
    </w:div>
    <w:div w:id="1959876382">
      <w:bodyDiv w:val="1"/>
      <w:marLeft w:val="0"/>
      <w:marRight w:val="0"/>
      <w:marTop w:val="0"/>
      <w:marBottom w:val="0"/>
      <w:divBdr>
        <w:top w:val="none" w:sz="0" w:space="0" w:color="auto"/>
        <w:left w:val="none" w:sz="0" w:space="0" w:color="auto"/>
        <w:bottom w:val="none" w:sz="0" w:space="0" w:color="auto"/>
        <w:right w:val="none" w:sz="0" w:space="0" w:color="auto"/>
      </w:divBdr>
      <w:divsChild>
        <w:div w:id="195999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en.revues.org/2305" TargetMode="External"/><Relationship Id="rId4" Type="http://schemas.openxmlformats.org/officeDocument/2006/relationships/hyperlink" Target="http://semen.revues.org/23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3933</Words>
  <Characters>21636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WinuE</cp:lastModifiedBy>
  <cp:revision>2</cp:revision>
  <dcterms:created xsi:type="dcterms:W3CDTF">2011-09-05T03:59:00Z</dcterms:created>
  <dcterms:modified xsi:type="dcterms:W3CDTF">2013-01-23T22:04:00Z</dcterms:modified>
</cp:coreProperties>
</file>